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F827" w14:textId="77777777" w:rsidR="001D3B83" w:rsidRPr="0073600E" w:rsidRDefault="00000000" w:rsidP="0073600E">
      <w:pPr>
        <w:widowControl w:val="0"/>
        <w:pBdr>
          <w:top w:val="nil"/>
          <w:left w:val="nil"/>
          <w:bottom w:val="nil"/>
          <w:right w:val="nil"/>
          <w:between w:val="nil"/>
        </w:pBdr>
        <w:jc w:val="center"/>
        <w:rPr>
          <w:rFonts w:ascii="Arial" w:eastAsia="Arial" w:hAnsi="Arial" w:cs="Arial"/>
          <w:b/>
          <w:color w:val="002060"/>
        </w:rPr>
      </w:pPr>
      <w:r w:rsidRPr="0073600E">
        <w:rPr>
          <w:rFonts w:ascii="Arial" w:eastAsia="Arial" w:hAnsi="Arial" w:cs="Arial"/>
          <w:b/>
          <w:color w:val="002060"/>
        </w:rPr>
        <w:t>SÍLABO</w:t>
      </w:r>
    </w:p>
    <w:p w14:paraId="59528F7D" w14:textId="77777777" w:rsidR="001D3B83" w:rsidRPr="0073600E" w:rsidRDefault="001D3B83" w:rsidP="0073600E">
      <w:pPr>
        <w:rPr>
          <w:rFonts w:ascii="Arial" w:eastAsia="Arial" w:hAnsi="Arial" w:cs="Arial"/>
          <w:b/>
        </w:rPr>
      </w:pPr>
    </w:p>
    <w:p w14:paraId="4F578567" w14:textId="77777777" w:rsidR="001D3B83" w:rsidRPr="0073600E" w:rsidRDefault="001D3B83" w:rsidP="0073600E">
      <w:pPr>
        <w:ind w:left="1080"/>
        <w:rPr>
          <w:rFonts w:ascii="Arial" w:eastAsia="Arial" w:hAnsi="Arial" w:cs="Arial"/>
          <w:b/>
        </w:rPr>
      </w:pPr>
    </w:p>
    <w:p w14:paraId="6BA5A379" w14:textId="77777777" w:rsidR="001D3B83" w:rsidRPr="0073600E" w:rsidRDefault="00000000" w:rsidP="0073600E">
      <w:pPr>
        <w:numPr>
          <w:ilvl w:val="0"/>
          <w:numId w:val="5"/>
        </w:numPr>
        <w:rPr>
          <w:rFonts w:ascii="Arial" w:eastAsia="Arial" w:hAnsi="Arial" w:cs="Arial"/>
          <w:b/>
          <w:color w:val="002060"/>
        </w:rPr>
      </w:pPr>
      <w:r w:rsidRPr="0073600E">
        <w:rPr>
          <w:rFonts w:ascii="Arial" w:eastAsia="Arial" w:hAnsi="Arial" w:cs="Arial"/>
          <w:b/>
          <w:color w:val="002060"/>
        </w:rPr>
        <w:t>DATOS GENERALES</w:t>
      </w:r>
    </w:p>
    <w:p w14:paraId="4C7D37BE" w14:textId="77777777" w:rsidR="001D3B83" w:rsidRPr="0073600E" w:rsidRDefault="001D3B83" w:rsidP="0073600E">
      <w:pPr>
        <w:ind w:left="1080"/>
        <w:rPr>
          <w:rFonts w:ascii="Arial" w:eastAsia="Arial" w:hAnsi="Arial" w:cs="Arial"/>
          <w:b/>
        </w:rPr>
      </w:pPr>
    </w:p>
    <w:tbl>
      <w:tblPr>
        <w:tblStyle w:val="a0"/>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94"/>
        <w:gridCol w:w="6095"/>
      </w:tblGrid>
      <w:tr w:rsidR="001D3B83" w:rsidRPr="0073600E" w14:paraId="550E8B44" w14:textId="77777777">
        <w:trPr>
          <w:trHeight w:val="826"/>
        </w:trPr>
        <w:tc>
          <w:tcPr>
            <w:tcW w:w="2694" w:type="dxa"/>
            <w:shd w:val="clear" w:color="auto" w:fill="C00000"/>
          </w:tcPr>
          <w:p w14:paraId="7AD04551" w14:textId="77777777" w:rsidR="001D3B83" w:rsidRPr="0073600E" w:rsidRDefault="001D3B83" w:rsidP="0073600E">
            <w:pPr>
              <w:jc w:val="center"/>
              <w:rPr>
                <w:rFonts w:ascii="Arial" w:eastAsia="Arial" w:hAnsi="Arial" w:cs="Arial"/>
                <w:b/>
              </w:rPr>
            </w:pPr>
          </w:p>
          <w:p w14:paraId="230037B4" w14:textId="77777777" w:rsidR="001D3B83" w:rsidRPr="0073600E" w:rsidRDefault="00000000" w:rsidP="0073600E">
            <w:pPr>
              <w:jc w:val="center"/>
              <w:rPr>
                <w:rFonts w:ascii="Arial" w:eastAsia="Arial" w:hAnsi="Arial" w:cs="Arial"/>
                <w:b/>
              </w:rPr>
            </w:pPr>
            <w:r w:rsidRPr="0073600E">
              <w:rPr>
                <w:rFonts w:ascii="Arial" w:eastAsia="Arial" w:hAnsi="Arial" w:cs="Arial"/>
                <w:b/>
              </w:rPr>
              <w:t>Proyecto CFC</w:t>
            </w:r>
          </w:p>
        </w:tc>
        <w:tc>
          <w:tcPr>
            <w:tcW w:w="6095" w:type="dxa"/>
          </w:tcPr>
          <w:p w14:paraId="5A65B0DB" w14:textId="77777777" w:rsidR="001D3B83" w:rsidRPr="0073600E" w:rsidRDefault="001D3B83" w:rsidP="0073600E">
            <w:pPr>
              <w:jc w:val="both"/>
              <w:rPr>
                <w:rFonts w:ascii="Arial" w:eastAsia="Arial" w:hAnsi="Arial" w:cs="Arial"/>
              </w:rPr>
            </w:pPr>
          </w:p>
          <w:p w14:paraId="0A3EB1CE" w14:textId="77777777" w:rsidR="001D3B83" w:rsidRPr="0073600E" w:rsidRDefault="00000000" w:rsidP="0073600E">
            <w:pPr>
              <w:jc w:val="both"/>
              <w:rPr>
                <w:rFonts w:ascii="Arial" w:eastAsia="Arial" w:hAnsi="Arial" w:cs="Arial"/>
              </w:rPr>
            </w:pPr>
            <w:r w:rsidRPr="0073600E">
              <w:rPr>
                <w:rFonts w:ascii="Arial" w:eastAsia="Arial" w:hAnsi="Arial" w:cs="Arial"/>
              </w:rPr>
              <w:t>Proyecto de Fortalecimiento en la Lucha del Ministerio de Justicia y Derechos Humanos (MINJUSDH) contra la Corrupción y el Crimen Organizado – PRODOC</w:t>
            </w:r>
          </w:p>
          <w:p w14:paraId="2237E30F" w14:textId="77777777" w:rsidR="001D3B83" w:rsidRPr="0073600E" w:rsidRDefault="001D3B83" w:rsidP="0073600E">
            <w:pPr>
              <w:jc w:val="both"/>
              <w:rPr>
                <w:rFonts w:ascii="Arial" w:eastAsia="Arial" w:hAnsi="Arial" w:cs="Arial"/>
              </w:rPr>
            </w:pPr>
          </w:p>
        </w:tc>
      </w:tr>
      <w:tr w:rsidR="001D3B83" w:rsidRPr="0073600E" w14:paraId="4F6D8363" w14:textId="77777777">
        <w:trPr>
          <w:trHeight w:val="550"/>
        </w:trPr>
        <w:tc>
          <w:tcPr>
            <w:tcW w:w="2694" w:type="dxa"/>
            <w:shd w:val="clear" w:color="auto" w:fill="C00000"/>
          </w:tcPr>
          <w:p w14:paraId="2A01A139" w14:textId="77777777" w:rsidR="001D3B83" w:rsidRPr="0073600E" w:rsidRDefault="00000000" w:rsidP="0073600E">
            <w:pPr>
              <w:jc w:val="center"/>
              <w:rPr>
                <w:rFonts w:ascii="Arial" w:eastAsia="Arial" w:hAnsi="Arial" w:cs="Arial"/>
                <w:b/>
              </w:rPr>
            </w:pPr>
            <w:r w:rsidRPr="0073600E">
              <w:rPr>
                <w:rFonts w:ascii="Arial" w:eastAsia="Arial" w:hAnsi="Arial" w:cs="Arial"/>
                <w:b/>
              </w:rPr>
              <w:t>Curso de especialización</w:t>
            </w:r>
          </w:p>
        </w:tc>
        <w:tc>
          <w:tcPr>
            <w:tcW w:w="6095" w:type="dxa"/>
          </w:tcPr>
          <w:p w14:paraId="1B92C24E" w14:textId="77777777" w:rsidR="001D3B83" w:rsidRPr="0073600E" w:rsidRDefault="00000000" w:rsidP="0073600E">
            <w:pPr>
              <w:jc w:val="both"/>
              <w:rPr>
                <w:rFonts w:ascii="Arial" w:eastAsia="Arial" w:hAnsi="Arial" w:cs="Arial"/>
              </w:rPr>
            </w:pPr>
            <w:r w:rsidRPr="0073600E">
              <w:rPr>
                <w:rFonts w:ascii="Arial" w:eastAsia="Arial" w:hAnsi="Arial" w:cs="Arial"/>
              </w:rPr>
              <w:t xml:space="preserve">Curso de Especialización contra la Corrupción y la Criminalidad Organizada (100 horas) </w:t>
            </w:r>
          </w:p>
          <w:p w14:paraId="6834DF75" w14:textId="77777777" w:rsidR="001D3B83" w:rsidRPr="0073600E" w:rsidRDefault="001D3B83" w:rsidP="0073600E">
            <w:pPr>
              <w:jc w:val="both"/>
              <w:rPr>
                <w:rFonts w:ascii="Arial" w:eastAsia="Arial" w:hAnsi="Arial" w:cs="Arial"/>
              </w:rPr>
            </w:pPr>
          </w:p>
        </w:tc>
      </w:tr>
      <w:tr w:rsidR="001D3B83" w:rsidRPr="0073600E" w14:paraId="755BCE82" w14:textId="77777777">
        <w:trPr>
          <w:trHeight w:val="550"/>
        </w:trPr>
        <w:tc>
          <w:tcPr>
            <w:tcW w:w="2694" w:type="dxa"/>
            <w:shd w:val="clear" w:color="auto" w:fill="C00000"/>
          </w:tcPr>
          <w:p w14:paraId="37565EC8" w14:textId="77777777" w:rsidR="001D3B83" w:rsidRPr="0073600E" w:rsidRDefault="00000000" w:rsidP="0073600E">
            <w:pPr>
              <w:jc w:val="center"/>
              <w:rPr>
                <w:rFonts w:ascii="Arial" w:eastAsia="Arial" w:hAnsi="Arial" w:cs="Arial"/>
                <w:b/>
              </w:rPr>
            </w:pPr>
            <w:r w:rsidRPr="0073600E">
              <w:rPr>
                <w:rFonts w:ascii="Arial" w:eastAsia="Arial" w:hAnsi="Arial" w:cs="Arial"/>
                <w:b/>
              </w:rPr>
              <w:t>Curso</w:t>
            </w:r>
          </w:p>
        </w:tc>
        <w:tc>
          <w:tcPr>
            <w:tcW w:w="6095" w:type="dxa"/>
          </w:tcPr>
          <w:p w14:paraId="077EF521" w14:textId="77777777" w:rsidR="001D3B83" w:rsidRPr="0073600E" w:rsidRDefault="00000000" w:rsidP="0073600E">
            <w:pPr>
              <w:rPr>
                <w:rFonts w:ascii="Arial" w:eastAsia="Arial" w:hAnsi="Arial" w:cs="Arial"/>
                <w:b/>
              </w:rPr>
            </w:pPr>
            <w:r w:rsidRPr="0073600E">
              <w:rPr>
                <w:rFonts w:ascii="Arial" w:eastAsia="Arial" w:hAnsi="Arial" w:cs="Arial"/>
                <w:b/>
              </w:rPr>
              <w:t>Corrupción</w:t>
            </w:r>
          </w:p>
          <w:p w14:paraId="2C8E97A1" w14:textId="77777777" w:rsidR="001D3B83" w:rsidRPr="0073600E" w:rsidRDefault="001D3B83" w:rsidP="0073600E">
            <w:pPr>
              <w:rPr>
                <w:rFonts w:ascii="Arial" w:eastAsia="Arial" w:hAnsi="Arial" w:cs="Arial"/>
              </w:rPr>
            </w:pPr>
          </w:p>
        </w:tc>
      </w:tr>
      <w:tr w:rsidR="001D3B83" w:rsidRPr="0073600E" w14:paraId="2ABC1F97" w14:textId="77777777">
        <w:trPr>
          <w:trHeight w:val="4422"/>
        </w:trPr>
        <w:tc>
          <w:tcPr>
            <w:tcW w:w="2694" w:type="dxa"/>
            <w:shd w:val="clear" w:color="auto" w:fill="C00000"/>
          </w:tcPr>
          <w:p w14:paraId="5E0E34F4" w14:textId="77777777" w:rsidR="001D3B83" w:rsidRPr="0073600E" w:rsidRDefault="00000000" w:rsidP="0073600E">
            <w:pPr>
              <w:jc w:val="center"/>
              <w:rPr>
                <w:rFonts w:ascii="Arial" w:eastAsia="Arial" w:hAnsi="Arial" w:cs="Arial"/>
                <w:b/>
              </w:rPr>
            </w:pPr>
            <w:r w:rsidRPr="0073600E">
              <w:rPr>
                <w:rFonts w:ascii="Arial" w:eastAsia="Arial" w:hAnsi="Arial" w:cs="Arial"/>
                <w:b/>
              </w:rPr>
              <w:t>Docente</w:t>
            </w:r>
          </w:p>
        </w:tc>
        <w:tc>
          <w:tcPr>
            <w:tcW w:w="6095" w:type="dxa"/>
          </w:tcPr>
          <w:p w14:paraId="62126BDA" w14:textId="77777777" w:rsidR="001D3B83" w:rsidRPr="0073600E" w:rsidRDefault="00000000" w:rsidP="0073600E">
            <w:pPr>
              <w:jc w:val="both"/>
              <w:rPr>
                <w:rFonts w:ascii="Arial" w:eastAsia="Arial" w:hAnsi="Arial" w:cs="Arial"/>
              </w:rPr>
            </w:pPr>
            <w:r w:rsidRPr="0073600E">
              <w:rPr>
                <w:rFonts w:ascii="Arial" w:eastAsia="Arial" w:hAnsi="Arial" w:cs="Arial"/>
              </w:rPr>
              <w:t>Dr. Armando Sánchez Malaga Carrillo</w:t>
            </w:r>
          </w:p>
          <w:p w14:paraId="77C063A8" w14:textId="77777777" w:rsidR="001D3B83" w:rsidRPr="0073600E" w:rsidRDefault="00000000" w:rsidP="0073600E">
            <w:pPr>
              <w:jc w:val="both"/>
              <w:rPr>
                <w:rFonts w:ascii="Arial" w:eastAsia="Arial" w:hAnsi="Arial" w:cs="Arial"/>
              </w:rPr>
            </w:pPr>
            <w:r w:rsidRPr="0073600E">
              <w:rPr>
                <w:rFonts w:ascii="Arial" w:eastAsia="Arial" w:hAnsi="Arial" w:cs="Arial"/>
              </w:rPr>
              <w:t>Doctor en Derecho y Ciencias Políticas por la Universidad de Barcelona. Magíster en Derecho Penal y Ciencias Penales por la Universidad de Barcelona y la Universidad Pompeu Fabra. Abogado por la Pontificia Universidad Católica del Perú. Profesor Ordinario del Departamento de Derecho de la Pontificia Universidad Católica del Perú. Cuenta con amplia experiencia en asesoría preventiva de riesgos penales, cumplimiento normativo, Derecho penal económico y empresarial. Cuenta con diversos artículos y libros sobre la materia publicados en Perú, España, Argentina y Uruguay.</w:t>
            </w:r>
          </w:p>
        </w:tc>
      </w:tr>
      <w:tr w:rsidR="001D3B83" w:rsidRPr="0073600E" w14:paraId="7767CE17" w14:textId="77777777">
        <w:trPr>
          <w:trHeight w:val="1101"/>
        </w:trPr>
        <w:tc>
          <w:tcPr>
            <w:tcW w:w="2694" w:type="dxa"/>
            <w:shd w:val="clear" w:color="auto" w:fill="C00000"/>
          </w:tcPr>
          <w:p w14:paraId="0E14AB91" w14:textId="77777777" w:rsidR="001D3B83" w:rsidRPr="0073600E" w:rsidRDefault="00000000" w:rsidP="0073600E">
            <w:pPr>
              <w:jc w:val="center"/>
              <w:rPr>
                <w:rFonts w:ascii="Arial" w:eastAsia="Arial" w:hAnsi="Arial" w:cs="Arial"/>
                <w:b/>
              </w:rPr>
            </w:pPr>
            <w:r w:rsidRPr="0073600E">
              <w:rPr>
                <w:rFonts w:ascii="Arial" w:eastAsia="Arial" w:hAnsi="Arial" w:cs="Arial"/>
                <w:b/>
              </w:rPr>
              <w:t>Público objetivo</w:t>
            </w:r>
          </w:p>
        </w:tc>
        <w:tc>
          <w:tcPr>
            <w:tcW w:w="6095" w:type="dxa"/>
          </w:tcPr>
          <w:p w14:paraId="4A0686A2" w14:textId="77777777" w:rsidR="001D3B83" w:rsidRPr="0073600E" w:rsidRDefault="00000000" w:rsidP="0073600E">
            <w:pPr>
              <w:jc w:val="both"/>
              <w:rPr>
                <w:rFonts w:ascii="Arial" w:eastAsia="Arial" w:hAnsi="Arial" w:cs="Arial"/>
                <w:b/>
              </w:rPr>
            </w:pPr>
            <w:r w:rsidRPr="0073600E">
              <w:rPr>
                <w:rFonts w:ascii="Arial" w:eastAsia="Arial" w:hAnsi="Arial" w:cs="Arial"/>
              </w:rPr>
              <w:t xml:space="preserve">Procuradores/as públicos/as y abogados/as de las Procuradurías Públicas Especializadas en Delitos de Corrupción, Lavado de Activos y Orden Público.  </w:t>
            </w:r>
          </w:p>
        </w:tc>
      </w:tr>
      <w:tr w:rsidR="001D3B83" w:rsidRPr="0073600E" w14:paraId="2C0388D1" w14:textId="77777777">
        <w:trPr>
          <w:trHeight w:val="826"/>
        </w:trPr>
        <w:tc>
          <w:tcPr>
            <w:tcW w:w="2694" w:type="dxa"/>
            <w:shd w:val="clear" w:color="auto" w:fill="C00000"/>
          </w:tcPr>
          <w:p w14:paraId="645A2F01" w14:textId="77777777" w:rsidR="001D3B83" w:rsidRPr="0073600E" w:rsidRDefault="00000000" w:rsidP="0073600E">
            <w:pPr>
              <w:jc w:val="center"/>
              <w:rPr>
                <w:rFonts w:ascii="Arial" w:eastAsia="Arial" w:hAnsi="Arial" w:cs="Arial"/>
                <w:b/>
              </w:rPr>
            </w:pPr>
            <w:r w:rsidRPr="0073600E">
              <w:rPr>
                <w:rFonts w:ascii="Arial" w:eastAsia="Arial" w:hAnsi="Arial" w:cs="Arial"/>
                <w:b/>
              </w:rPr>
              <w:t>Fecha de inicio y término</w:t>
            </w:r>
          </w:p>
        </w:tc>
        <w:tc>
          <w:tcPr>
            <w:tcW w:w="6095" w:type="dxa"/>
          </w:tcPr>
          <w:p w14:paraId="72CA33DE" w14:textId="42396D5C" w:rsidR="001D3B83" w:rsidRPr="0073600E" w:rsidRDefault="00000000" w:rsidP="0073600E">
            <w:pPr>
              <w:rPr>
                <w:rFonts w:ascii="Arial" w:eastAsia="Arial" w:hAnsi="Arial" w:cs="Arial"/>
              </w:rPr>
            </w:pPr>
            <w:r w:rsidRPr="0073600E">
              <w:rPr>
                <w:rFonts w:ascii="Arial" w:eastAsia="Arial" w:hAnsi="Arial" w:cs="Arial"/>
              </w:rPr>
              <w:t>AULA 1: 25/11/2022 al 0</w:t>
            </w:r>
            <w:r w:rsidR="00F440E3">
              <w:rPr>
                <w:rFonts w:ascii="Arial" w:eastAsia="Arial" w:hAnsi="Arial" w:cs="Arial"/>
              </w:rPr>
              <w:t>7</w:t>
            </w:r>
            <w:r w:rsidRPr="0073600E">
              <w:rPr>
                <w:rFonts w:ascii="Arial" w:eastAsia="Arial" w:hAnsi="Arial" w:cs="Arial"/>
              </w:rPr>
              <w:t>/12/2022</w:t>
            </w:r>
          </w:p>
          <w:p w14:paraId="5234CB2D" w14:textId="77777777" w:rsidR="001D3B83" w:rsidRPr="0073600E" w:rsidRDefault="00000000" w:rsidP="0073600E">
            <w:pPr>
              <w:rPr>
                <w:rFonts w:ascii="Arial" w:eastAsia="Arial" w:hAnsi="Arial" w:cs="Arial"/>
              </w:rPr>
            </w:pPr>
            <w:r w:rsidRPr="0073600E">
              <w:rPr>
                <w:rFonts w:ascii="Arial" w:eastAsia="Arial" w:hAnsi="Arial" w:cs="Arial"/>
              </w:rPr>
              <w:t>AULA 2: 25/11/2022 al 07/12/2022</w:t>
            </w:r>
          </w:p>
          <w:p w14:paraId="4E635D2E" w14:textId="77777777" w:rsidR="001D3B83" w:rsidRPr="0073600E" w:rsidRDefault="00000000" w:rsidP="0073600E">
            <w:pPr>
              <w:jc w:val="both"/>
              <w:rPr>
                <w:rFonts w:ascii="Arial" w:eastAsia="Arial" w:hAnsi="Arial" w:cs="Arial"/>
              </w:rPr>
            </w:pPr>
            <w:r w:rsidRPr="0073600E">
              <w:rPr>
                <w:rFonts w:ascii="Arial" w:eastAsia="Arial" w:hAnsi="Arial" w:cs="Arial"/>
              </w:rPr>
              <w:t>AULA 3: 07/12/2022 al 16/12/2022</w:t>
            </w:r>
          </w:p>
          <w:p w14:paraId="54FA93C3" w14:textId="77777777" w:rsidR="001D3B83" w:rsidRPr="0073600E" w:rsidRDefault="001D3B83" w:rsidP="0073600E">
            <w:pPr>
              <w:jc w:val="both"/>
              <w:rPr>
                <w:rFonts w:ascii="Arial" w:eastAsia="Arial" w:hAnsi="Arial" w:cs="Arial"/>
              </w:rPr>
            </w:pPr>
          </w:p>
        </w:tc>
      </w:tr>
      <w:tr w:rsidR="001D3B83" w:rsidRPr="0073600E" w14:paraId="0CC9984B" w14:textId="77777777">
        <w:trPr>
          <w:trHeight w:val="275"/>
        </w:trPr>
        <w:tc>
          <w:tcPr>
            <w:tcW w:w="2694" w:type="dxa"/>
            <w:shd w:val="clear" w:color="auto" w:fill="C00000"/>
          </w:tcPr>
          <w:p w14:paraId="1EA47FC3" w14:textId="77777777" w:rsidR="001D3B83" w:rsidRPr="0073600E" w:rsidRDefault="00000000" w:rsidP="0073600E">
            <w:pPr>
              <w:jc w:val="center"/>
              <w:rPr>
                <w:rFonts w:ascii="Arial" w:eastAsia="Arial" w:hAnsi="Arial" w:cs="Arial"/>
                <w:b/>
              </w:rPr>
            </w:pPr>
            <w:r w:rsidRPr="0073600E">
              <w:rPr>
                <w:rFonts w:ascii="Arial" w:eastAsia="Arial" w:hAnsi="Arial" w:cs="Arial"/>
                <w:b/>
              </w:rPr>
              <w:t>Horario</w:t>
            </w:r>
          </w:p>
        </w:tc>
        <w:tc>
          <w:tcPr>
            <w:tcW w:w="6095" w:type="dxa"/>
          </w:tcPr>
          <w:p w14:paraId="27C61A68" w14:textId="77777777" w:rsidR="001D3B83" w:rsidRPr="0073600E" w:rsidRDefault="00000000" w:rsidP="0073600E">
            <w:pPr>
              <w:jc w:val="both"/>
              <w:rPr>
                <w:rFonts w:ascii="Arial" w:eastAsia="Arial" w:hAnsi="Arial" w:cs="Arial"/>
              </w:rPr>
            </w:pPr>
            <w:r w:rsidRPr="0073600E">
              <w:rPr>
                <w:rFonts w:ascii="Arial" w:eastAsia="Arial" w:hAnsi="Arial" w:cs="Arial"/>
              </w:rPr>
              <w:t>6:00 a 9:00 pm</w:t>
            </w:r>
          </w:p>
          <w:p w14:paraId="75EFD4F4" w14:textId="77777777" w:rsidR="001D3B83" w:rsidRPr="0073600E" w:rsidRDefault="001D3B83" w:rsidP="0073600E">
            <w:pPr>
              <w:jc w:val="both"/>
              <w:rPr>
                <w:rFonts w:ascii="Arial" w:eastAsia="Arial" w:hAnsi="Arial" w:cs="Arial"/>
              </w:rPr>
            </w:pPr>
          </w:p>
        </w:tc>
      </w:tr>
      <w:tr w:rsidR="001D3B83" w:rsidRPr="0073600E" w14:paraId="666AB709" w14:textId="77777777">
        <w:trPr>
          <w:trHeight w:val="550"/>
        </w:trPr>
        <w:tc>
          <w:tcPr>
            <w:tcW w:w="2694" w:type="dxa"/>
            <w:shd w:val="clear" w:color="auto" w:fill="C00000"/>
          </w:tcPr>
          <w:p w14:paraId="2CE42E45" w14:textId="77777777" w:rsidR="001D3B83" w:rsidRPr="0073600E" w:rsidRDefault="00000000" w:rsidP="0073600E">
            <w:pPr>
              <w:jc w:val="center"/>
              <w:rPr>
                <w:rFonts w:ascii="Arial" w:eastAsia="Arial" w:hAnsi="Arial" w:cs="Arial"/>
                <w:b/>
              </w:rPr>
            </w:pPr>
            <w:r w:rsidRPr="0073600E">
              <w:rPr>
                <w:rFonts w:ascii="Arial" w:eastAsia="Arial" w:hAnsi="Arial" w:cs="Arial"/>
                <w:b/>
              </w:rPr>
              <w:t>Total de horas académicas</w:t>
            </w:r>
          </w:p>
        </w:tc>
        <w:tc>
          <w:tcPr>
            <w:tcW w:w="6095" w:type="dxa"/>
            <w:shd w:val="clear" w:color="auto" w:fill="auto"/>
          </w:tcPr>
          <w:p w14:paraId="48CFC94F" w14:textId="77777777" w:rsidR="001D3B83" w:rsidRPr="0073600E" w:rsidRDefault="00000000" w:rsidP="0073600E">
            <w:pPr>
              <w:jc w:val="both"/>
              <w:rPr>
                <w:rFonts w:ascii="Arial" w:eastAsia="Arial" w:hAnsi="Arial" w:cs="Arial"/>
                <w:b/>
              </w:rPr>
            </w:pPr>
            <w:r w:rsidRPr="0073600E">
              <w:rPr>
                <w:rFonts w:ascii="Arial" w:eastAsia="Arial" w:hAnsi="Arial" w:cs="Arial"/>
              </w:rPr>
              <w:t>25 horas</w:t>
            </w:r>
          </w:p>
        </w:tc>
      </w:tr>
      <w:tr w:rsidR="001D3B83" w:rsidRPr="0073600E" w14:paraId="0ECADB5B" w14:textId="77777777">
        <w:trPr>
          <w:trHeight w:val="275"/>
        </w:trPr>
        <w:tc>
          <w:tcPr>
            <w:tcW w:w="2694" w:type="dxa"/>
            <w:shd w:val="clear" w:color="auto" w:fill="C00000"/>
          </w:tcPr>
          <w:p w14:paraId="26FCBE38" w14:textId="77777777" w:rsidR="001D3B83" w:rsidRPr="0073600E" w:rsidRDefault="00000000" w:rsidP="0073600E">
            <w:pPr>
              <w:jc w:val="center"/>
              <w:rPr>
                <w:rFonts w:ascii="Arial" w:eastAsia="Arial" w:hAnsi="Arial" w:cs="Arial"/>
                <w:b/>
              </w:rPr>
            </w:pPr>
            <w:r w:rsidRPr="0073600E">
              <w:rPr>
                <w:rFonts w:ascii="Arial" w:eastAsia="Arial" w:hAnsi="Arial" w:cs="Arial"/>
                <w:b/>
              </w:rPr>
              <w:t>Modalidad</w:t>
            </w:r>
          </w:p>
        </w:tc>
        <w:tc>
          <w:tcPr>
            <w:tcW w:w="6095" w:type="dxa"/>
          </w:tcPr>
          <w:p w14:paraId="491A3E0A" w14:textId="77777777" w:rsidR="001D3B83" w:rsidRPr="0073600E" w:rsidRDefault="00000000" w:rsidP="0073600E">
            <w:pPr>
              <w:jc w:val="both"/>
              <w:rPr>
                <w:rFonts w:ascii="Arial" w:eastAsia="Arial" w:hAnsi="Arial" w:cs="Arial"/>
              </w:rPr>
            </w:pPr>
            <w:r w:rsidRPr="0073600E">
              <w:rPr>
                <w:rFonts w:ascii="Arial" w:eastAsia="Arial" w:hAnsi="Arial" w:cs="Arial"/>
              </w:rPr>
              <w:t>Virtual (sincrónica y asincrónica)</w:t>
            </w:r>
          </w:p>
        </w:tc>
      </w:tr>
    </w:tbl>
    <w:p w14:paraId="6AF02A30" w14:textId="77777777" w:rsidR="001D3B83" w:rsidRPr="0073600E" w:rsidRDefault="001D3B83" w:rsidP="0073600E">
      <w:pPr>
        <w:jc w:val="both"/>
        <w:rPr>
          <w:rFonts w:ascii="Arial" w:eastAsia="Arial" w:hAnsi="Arial" w:cs="Arial"/>
        </w:rPr>
      </w:pPr>
    </w:p>
    <w:p w14:paraId="1A8F542C" w14:textId="77777777" w:rsidR="001D3B83" w:rsidRPr="0073600E" w:rsidRDefault="001D3B83" w:rsidP="0073600E">
      <w:pPr>
        <w:jc w:val="both"/>
        <w:rPr>
          <w:rFonts w:ascii="Arial" w:eastAsia="Arial" w:hAnsi="Arial" w:cs="Arial"/>
        </w:rPr>
      </w:pPr>
    </w:p>
    <w:p w14:paraId="079CE2A5" w14:textId="77777777" w:rsidR="001D3B83" w:rsidRPr="0073600E" w:rsidRDefault="001D3B83" w:rsidP="0073600E">
      <w:pPr>
        <w:jc w:val="both"/>
        <w:rPr>
          <w:rFonts w:ascii="Arial" w:eastAsia="Arial" w:hAnsi="Arial" w:cs="Arial"/>
        </w:rPr>
      </w:pPr>
    </w:p>
    <w:p w14:paraId="28AF926F" w14:textId="77777777" w:rsidR="001D3B83" w:rsidRPr="0073600E" w:rsidRDefault="001D3B83" w:rsidP="0073600E">
      <w:pPr>
        <w:jc w:val="both"/>
        <w:rPr>
          <w:rFonts w:ascii="Arial" w:eastAsia="Arial" w:hAnsi="Arial" w:cs="Arial"/>
        </w:rPr>
      </w:pPr>
    </w:p>
    <w:p w14:paraId="72917287" w14:textId="77777777" w:rsidR="001D3B83" w:rsidRPr="0073600E" w:rsidRDefault="001D3B83" w:rsidP="0073600E">
      <w:pPr>
        <w:jc w:val="both"/>
        <w:rPr>
          <w:rFonts w:ascii="Arial" w:eastAsia="Arial" w:hAnsi="Arial" w:cs="Arial"/>
        </w:rPr>
      </w:pPr>
    </w:p>
    <w:p w14:paraId="7059954B" w14:textId="77777777" w:rsidR="001D3B83" w:rsidRPr="0073600E" w:rsidRDefault="001D3B83" w:rsidP="0073600E">
      <w:pPr>
        <w:jc w:val="both"/>
        <w:rPr>
          <w:rFonts w:ascii="Arial" w:eastAsia="Arial" w:hAnsi="Arial" w:cs="Arial"/>
        </w:rPr>
      </w:pPr>
    </w:p>
    <w:p w14:paraId="37C15250" w14:textId="77777777" w:rsidR="001D3B83" w:rsidRPr="0073600E" w:rsidRDefault="00000000" w:rsidP="0073600E">
      <w:pPr>
        <w:numPr>
          <w:ilvl w:val="0"/>
          <w:numId w:val="5"/>
        </w:numPr>
        <w:jc w:val="both"/>
        <w:rPr>
          <w:rFonts w:ascii="Arial" w:eastAsia="Arial" w:hAnsi="Arial" w:cs="Arial"/>
          <w:b/>
          <w:color w:val="002060"/>
        </w:rPr>
      </w:pPr>
      <w:r w:rsidRPr="0073600E">
        <w:rPr>
          <w:rFonts w:ascii="Arial" w:eastAsia="Arial" w:hAnsi="Arial" w:cs="Arial"/>
          <w:b/>
          <w:color w:val="002060"/>
        </w:rPr>
        <w:lastRenderedPageBreak/>
        <w:t>SUMILLA</w:t>
      </w:r>
    </w:p>
    <w:p w14:paraId="0E7F887A" w14:textId="77777777" w:rsidR="001D3B83" w:rsidRPr="0073600E" w:rsidRDefault="001D3B83" w:rsidP="0073600E">
      <w:pPr>
        <w:jc w:val="both"/>
        <w:rPr>
          <w:rFonts w:ascii="Arial" w:eastAsia="Arial" w:hAnsi="Arial" w:cs="Arial"/>
        </w:rPr>
      </w:pPr>
    </w:p>
    <w:p w14:paraId="4DA379C0" w14:textId="77777777" w:rsidR="001D3B83" w:rsidRPr="0073600E" w:rsidRDefault="00000000" w:rsidP="0073600E">
      <w:pPr>
        <w:jc w:val="both"/>
        <w:rPr>
          <w:rFonts w:ascii="Arial" w:eastAsia="Arial" w:hAnsi="Arial" w:cs="Arial"/>
        </w:rPr>
      </w:pPr>
      <w:r w:rsidRPr="0073600E">
        <w:rPr>
          <w:rFonts w:ascii="Arial" w:eastAsia="Arial" w:hAnsi="Arial" w:cs="Arial"/>
        </w:rPr>
        <w:t>El curso virtual tiene como fin actualizar y reforzar los conocimientos de los/as participantes en cuanto al estudio dogmático de los conceptos y elementos que giran en torno del ecosistema de la corrupción. Asimismo, busca contribuir a la mejora del desempeño práctico de los/as participantes para que, a partir de sus diversos roles y competencias, sean capaces de actuar oportunamente ante los delitos con mayor índice de comisión como es el caso de la Colusión, la Negociación Incompatible y Peculado; además, de utilizar efectivamente las técnicas de litigación oral aplicadas a los casos de corrupción.</w:t>
      </w:r>
    </w:p>
    <w:p w14:paraId="138294E4" w14:textId="77777777" w:rsidR="001D3B83" w:rsidRPr="0073600E" w:rsidRDefault="001D3B83" w:rsidP="0073600E">
      <w:pPr>
        <w:jc w:val="both"/>
        <w:rPr>
          <w:rFonts w:ascii="Arial" w:eastAsia="Arial" w:hAnsi="Arial" w:cs="Arial"/>
        </w:rPr>
      </w:pPr>
    </w:p>
    <w:p w14:paraId="1396B603" w14:textId="77777777" w:rsidR="001D3B83" w:rsidRPr="0073600E" w:rsidRDefault="001D3B83" w:rsidP="0073600E">
      <w:pPr>
        <w:jc w:val="both"/>
        <w:rPr>
          <w:rFonts w:ascii="Arial" w:eastAsia="Arial" w:hAnsi="Arial" w:cs="Arial"/>
        </w:rPr>
      </w:pPr>
    </w:p>
    <w:p w14:paraId="17D159FF" w14:textId="77777777" w:rsidR="001D3B83" w:rsidRPr="0073600E" w:rsidRDefault="00000000" w:rsidP="0073600E">
      <w:pPr>
        <w:numPr>
          <w:ilvl w:val="0"/>
          <w:numId w:val="5"/>
        </w:numPr>
        <w:jc w:val="both"/>
        <w:rPr>
          <w:rFonts w:ascii="Arial" w:eastAsia="Arial" w:hAnsi="Arial" w:cs="Arial"/>
          <w:b/>
        </w:rPr>
      </w:pPr>
      <w:r w:rsidRPr="0073600E">
        <w:rPr>
          <w:rFonts w:ascii="Arial" w:eastAsia="Arial" w:hAnsi="Arial" w:cs="Arial"/>
          <w:b/>
          <w:color w:val="002060"/>
        </w:rPr>
        <w:t>COMPETENCIAS Y CAPACIDADES DE APRENDIZAJE</w:t>
      </w:r>
    </w:p>
    <w:p w14:paraId="55765B5C" w14:textId="77777777" w:rsidR="001D3B83" w:rsidRPr="0073600E" w:rsidRDefault="001D3B83" w:rsidP="0073600E">
      <w:pPr>
        <w:jc w:val="both"/>
        <w:rPr>
          <w:rFonts w:ascii="Arial" w:eastAsia="Arial" w:hAnsi="Arial" w:cs="Arial"/>
          <w:b/>
        </w:rPr>
      </w:pPr>
    </w:p>
    <w:p w14:paraId="389BBC74" w14:textId="77777777" w:rsidR="001D3B83" w:rsidRPr="0073600E" w:rsidRDefault="00000000" w:rsidP="0073600E">
      <w:pPr>
        <w:ind w:left="720"/>
        <w:jc w:val="both"/>
        <w:rPr>
          <w:rFonts w:ascii="Arial" w:eastAsia="Arial" w:hAnsi="Arial" w:cs="Arial"/>
          <w:b/>
        </w:rPr>
      </w:pPr>
      <w:r w:rsidRPr="0073600E">
        <w:rPr>
          <w:rFonts w:ascii="Arial" w:eastAsia="Arial" w:hAnsi="Arial" w:cs="Arial"/>
          <w:b/>
          <w:color w:val="002060"/>
        </w:rPr>
        <w:t>COMPETENCIA</w:t>
      </w:r>
      <w:r w:rsidRPr="0073600E">
        <w:rPr>
          <w:rFonts w:ascii="Arial" w:eastAsia="Arial" w:hAnsi="Arial" w:cs="Arial"/>
          <w:b/>
        </w:rPr>
        <w:t>:</w:t>
      </w:r>
    </w:p>
    <w:p w14:paraId="4999746C" w14:textId="77777777" w:rsidR="001D3B83" w:rsidRPr="0073600E" w:rsidRDefault="001D3B83" w:rsidP="0073600E">
      <w:pPr>
        <w:ind w:left="720"/>
        <w:jc w:val="both"/>
        <w:rPr>
          <w:rFonts w:ascii="Arial" w:eastAsia="Arial" w:hAnsi="Arial" w:cs="Arial"/>
          <w:b/>
        </w:rPr>
      </w:pPr>
    </w:p>
    <w:p w14:paraId="1F143B9D" w14:textId="77777777" w:rsidR="001D3B83" w:rsidRPr="0073600E" w:rsidRDefault="00000000" w:rsidP="0073600E">
      <w:pPr>
        <w:pBdr>
          <w:top w:val="nil"/>
          <w:left w:val="nil"/>
          <w:bottom w:val="nil"/>
          <w:right w:val="nil"/>
          <w:between w:val="nil"/>
        </w:pBdr>
        <w:shd w:val="clear" w:color="auto" w:fill="FFFFFF"/>
        <w:ind w:left="720"/>
        <w:jc w:val="both"/>
        <w:rPr>
          <w:rFonts w:ascii="Arial" w:eastAsia="Arial" w:hAnsi="Arial" w:cs="Arial"/>
          <w:color w:val="000000"/>
        </w:rPr>
      </w:pPr>
      <w:r w:rsidRPr="0073600E">
        <w:rPr>
          <w:rFonts w:ascii="Arial" w:eastAsia="Arial" w:hAnsi="Arial" w:cs="Arial"/>
          <w:color w:val="000000"/>
        </w:rPr>
        <w:t xml:space="preserve">Fortalecer las capacidades técnicas y operativas de los/as participantes en materia de delitos de corrupción, crimen organizado y extinción de dominio para coadyuvar en el diseño e implementación de estrategias de prevención que promuevan y garanticen el ejercicio de la defensa del Estado apoyándose en conocimientos actualizados y la normativa vigente. </w:t>
      </w:r>
    </w:p>
    <w:p w14:paraId="663FAA7C" w14:textId="77777777" w:rsidR="001D3B83" w:rsidRPr="0073600E" w:rsidRDefault="001D3B83" w:rsidP="0073600E">
      <w:pPr>
        <w:ind w:left="720"/>
        <w:jc w:val="both"/>
        <w:rPr>
          <w:rFonts w:ascii="Arial" w:eastAsia="Arial" w:hAnsi="Arial" w:cs="Arial"/>
        </w:rPr>
      </w:pPr>
    </w:p>
    <w:p w14:paraId="337C3695" w14:textId="77777777" w:rsidR="001D3B83" w:rsidRPr="0073600E" w:rsidRDefault="00000000" w:rsidP="0073600E">
      <w:pPr>
        <w:ind w:left="720"/>
        <w:jc w:val="both"/>
        <w:rPr>
          <w:rFonts w:ascii="Arial" w:eastAsia="Arial" w:hAnsi="Arial" w:cs="Arial"/>
          <w:b/>
          <w:color w:val="002060"/>
        </w:rPr>
      </w:pPr>
      <w:r w:rsidRPr="0073600E">
        <w:rPr>
          <w:rFonts w:ascii="Arial" w:eastAsia="Arial" w:hAnsi="Arial" w:cs="Arial"/>
          <w:b/>
          <w:color w:val="002060"/>
        </w:rPr>
        <w:t>CAPACIDADES:</w:t>
      </w:r>
    </w:p>
    <w:p w14:paraId="3F46BC4F" w14:textId="77777777" w:rsidR="001D3B83" w:rsidRPr="0073600E" w:rsidRDefault="001D3B83" w:rsidP="0073600E">
      <w:pPr>
        <w:ind w:left="720"/>
        <w:jc w:val="both"/>
        <w:rPr>
          <w:rFonts w:ascii="Arial" w:eastAsia="Arial" w:hAnsi="Arial" w:cs="Arial"/>
          <w:b/>
        </w:rPr>
      </w:pPr>
    </w:p>
    <w:p w14:paraId="17B2F5CC" w14:textId="77777777" w:rsidR="001D3B83" w:rsidRPr="0073600E" w:rsidRDefault="00000000" w:rsidP="0073600E">
      <w:pPr>
        <w:numPr>
          <w:ilvl w:val="0"/>
          <w:numId w:val="2"/>
        </w:numPr>
        <w:pBdr>
          <w:top w:val="nil"/>
          <w:left w:val="nil"/>
          <w:bottom w:val="nil"/>
          <w:right w:val="nil"/>
          <w:between w:val="nil"/>
        </w:pBdr>
        <w:shd w:val="clear" w:color="auto" w:fill="FFFFFF"/>
        <w:ind w:left="1080"/>
        <w:jc w:val="both"/>
        <w:rPr>
          <w:rFonts w:ascii="Arial" w:eastAsia="Arial" w:hAnsi="Arial" w:cs="Arial"/>
          <w:color w:val="000000"/>
        </w:rPr>
      </w:pPr>
      <w:r w:rsidRPr="0073600E">
        <w:rPr>
          <w:rFonts w:ascii="Arial" w:eastAsia="Arial" w:hAnsi="Arial" w:cs="Arial"/>
          <w:color w:val="000000"/>
        </w:rPr>
        <w:t>Los estudiantes fortalecerán las prácticas de integridad y el sentido del servicio público para el correcto funcionamiento del Estado.</w:t>
      </w:r>
    </w:p>
    <w:p w14:paraId="478C5772" w14:textId="77777777" w:rsidR="001D3B83" w:rsidRPr="0073600E" w:rsidRDefault="00000000" w:rsidP="0073600E">
      <w:pPr>
        <w:numPr>
          <w:ilvl w:val="0"/>
          <w:numId w:val="2"/>
        </w:numPr>
        <w:pBdr>
          <w:top w:val="nil"/>
          <w:left w:val="nil"/>
          <w:bottom w:val="nil"/>
          <w:right w:val="nil"/>
          <w:between w:val="nil"/>
        </w:pBdr>
        <w:shd w:val="clear" w:color="auto" w:fill="FFFFFF"/>
        <w:ind w:left="1080"/>
        <w:jc w:val="both"/>
        <w:rPr>
          <w:rFonts w:ascii="Arial" w:eastAsia="Arial" w:hAnsi="Arial" w:cs="Arial"/>
          <w:color w:val="000000"/>
        </w:rPr>
      </w:pPr>
      <w:r w:rsidRPr="0073600E">
        <w:rPr>
          <w:rFonts w:ascii="Arial" w:eastAsia="Arial" w:hAnsi="Arial" w:cs="Arial"/>
          <w:color w:val="000000"/>
        </w:rPr>
        <w:t xml:space="preserve">Los estudiantes </w:t>
      </w:r>
      <w:r w:rsidRPr="0073600E">
        <w:rPr>
          <w:rFonts w:ascii="Arial" w:eastAsia="Arial" w:hAnsi="Arial" w:cs="Arial"/>
        </w:rPr>
        <w:t xml:space="preserve">fortalecerán sus funciones como procuradores públicos para mantener instituciones libres de corrupción, capaces de actuar en el marco de la legalidad y con conocimientos de dogmática penal.  </w:t>
      </w:r>
    </w:p>
    <w:p w14:paraId="6E037D10" w14:textId="77777777" w:rsidR="001D3B83" w:rsidRPr="0073600E" w:rsidRDefault="00000000" w:rsidP="0073600E">
      <w:pPr>
        <w:numPr>
          <w:ilvl w:val="0"/>
          <w:numId w:val="2"/>
        </w:numPr>
        <w:pBdr>
          <w:top w:val="nil"/>
          <w:left w:val="nil"/>
          <w:bottom w:val="nil"/>
          <w:right w:val="nil"/>
          <w:between w:val="nil"/>
        </w:pBdr>
        <w:shd w:val="clear" w:color="auto" w:fill="FFFFFF"/>
        <w:ind w:left="1080"/>
        <w:jc w:val="both"/>
        <w:rPr>
          <w:rFonts w:ascii="Arial" w:eastAsia="Arial" w:hAnsi="Arial" w:cs="Arial"/>
          <w:color w:val="000000"/>
        </w:rPr>
      </w:pPr>
      <w:r w:rsidRPr="0073600E">
        <w:rPr>
          <w:rFonts w:ascii="Arial" w:eastAsia="Arial" w:hAnsi="Arial" w:cs="Arial"/>
          <w:color w:val="000000"/>
        </w:rPr>
        <w:t>Los estudiantes</w:t>
      </w:r>
      <w:r w:rsidRPr="0073600E">
        <w:rPr>
          <w:rFonts w:ascii="Arial" w:eastAsia="Arial" w:hAnsi="Arial" w:cs="Arial"/>
        </w:rPr>
        <w:t xml:space="preserve"> estarán orientados al fortalecimiento institucional para mejorar los servicios que brinda el Estado a la ciudadanía, garantizando así sus derechos fundamentales.</w:t>
      </w:r>
    </w:p>
    <w:p w14:paraId="16E1C80D" w14:textId="77777777" w:rsidR="001D3B83" w:rsidRPr="0073600E" w:rsidRDefault="001D3B83" w:rsidP="0073600E">
      <w:pPr>
        <w:shd w:val="clear" w:color="auto" w:fill="FFFFFF"/>
        <w:jc w:val="both"/>
        <w:rPr>
          <w:rFonts w:ascii="Arial" w:eastAsia="Arial" w:hAnsi="Arial" w:cs="Arial"/>
        </w:rPr>
      </w:pPr>
    </w:p>
    <w:p w14:paraId="6EC44A4D" w14:textId="77777777" w:rsidR="001D3B83" w:rsidRPr="0073600E" w:rsidRDefault="001D3B83" w:rsidP="0073600E">
      <w:pPr>
        <w:pBdr>
          <w:top w:val="nil"/>
          <w:left w:val="nil"/>
          <w:bottom w:val="nil"/>
          <w:right w:val="nil"/>
          <w:between w:val="nil"/>
        </w:pBdr>
        <w:shd w:val="clear" w:color="auto" w:fill="FFFFFF"/>
        <w:jc w:val="both"/>
        <w:rPr>
          <w:rFonts w:ascii="Arial" w:eastAsia="Arial" w:hAnsi="Arial" w:cs="Arial"/>
          <w:color w:val="000000"/>
        </w:rPr>
      </w:pPr>
    </w:p>
    <w:p w14:paraId="7A81A704" w14:textId="77777777" w:rsidR="0073600E" w:rsidRDefault="00000000" w:rsidP="0073600E">
      <w:pPr>
        <w:numPr>
          <w:ilvl w:val="0"/>
          <w:numId w:val="5"/>
        </w:numPr>
        <w:jc w:val="both"/>
        <w:rPr>
          <w:rFonts w:ascii="Arial" w:eastAsia="Arial" w:hAnsi="Arial" w:cs="Arial"/>
          <w:b/>
        </w:rPr>
      </w:pPr>
      <w:r w:rsidRPr="0073600E">
        <w:rPr>
          <w:rFonts w:ascii="Arial" w:eastAsia="Arial" w:hAnsi="Arial" w:cs="Arial"/>
          <w:b/>
          <w:color w:val="002060"/>
        </w:rPr>
        <w:t>CONTENIDOS</w:t>
      </w:r>
    </w:p>
    <w:p w14:paraId="745F78B9" w14:textId="77777777" w:rsidR="0073600E" w:rsidRDefault="0073600E" w:rsidP="0073600E">
      <w:pPr>
        <w:ind w:left="720"/>
        <w:jc w:val="both"/>
        <w:rPr>
          <w:rFonts w:ascii="Arial" w:eastAsia="Arial" w:hAnsi="Arial" w:cs="Arial"/>
          <w:b/>
        </w:rPr>
      </w:pPr>
    </w:p>
    <w:p w14:paraId="48AFC3CA" w14:textId="5AF14135" w:rsidR="00474569" w:rsidRPr="0073600E" w:rsidRDefault="00474569" w:rsidP="0073600E">
      <w:pPr>
        <w:ind w:left="720"/>
        <w:jc w:val="both"/>
        <w:rPr>
          <w:rFonts w:ascii="Arial" w:eastAsia="Arial" w:hAnsi="Arial" w:cs="Arial"/>
          <w:b/>
        </w:rPr>
      </w:pPr>
      <w:r w:rsidRPr="0073600E">
        <w:rPr>
          <w:rFonts w:ascii="Arial" w:eastAsia="Arial" w:hAnsi="Arial" w:cs="Arial"/>
          <w:b/>
          <w:color w:val="002060"/>
        </w:rPr>
        <w:t>Unidad de aprendizaje N° 1: Origen del Fenómeno de la Corrupción</w:t>
      </w:r>
    </w:p>
    <w:p w14:paraId="2D220245" w14:textId="56E45125" w:rsidR="00474569" w:rsidRPr="0073600E" w:rsidRDefault="00474569" w:rsidP="0073600E">
      <w:pPr>
        <w:pStyle w:val="Prrafodelista"/>
        <w:numPr>
          <w:ilvl w:val="1"/>
          <w:numId w:val="6"/>
        </w:numPr>
        <w:spacing w:after="0" w:line="240" w:lineRule="auto"/>
        <w:jc w:val="both"/>
        <w:rPr>
          <w:rFonts w:ascii="Arial" w:eastAsia="Arial" w:hAnsi="Arial" w:cs="Arial"/>
          <w:sz w:val="24"/>
          <w:szCs w:val="24"/>
        </w:rPr>
      </w:pPr>
      <w:r w:rsidRPr="0073600E">
        <w:rPr>
          <w:rFonts w:ascii="Arial" w:eastAsia="Arial" w:hAnsi="Arial" w:cs="Arial"/>
          <w:sz w:val="24"/>
          <w:szCs w:val="24"/>
        </w:rPr>
        <w:t>Aspectos principales de la problemática de la corrupción</w:t>
      </w:r>
    </w:p>
    <w:p w14:paraId="7F71E4A0" w14:textId="4F5CD00D" w:rsidR="00474569" w:rsidRPr="0073600E" w:rsidRDefault="00474569" w:rsidP="0073600E">
      <w:pPr>
        <w:pStyle w:val="Prrafodelista"/>
        <w:numPr>
          <w:ilvl w:val="1"/>
          <w:numId w:val="6"/>
        </w:numPr>
        <w:spacing w:after="0" w:line="240" w:lineRule="auto"/>
        <w:jc w:val="both"/>
        <w:rPr>
          <w:rFonts w:ascii="Arial" w:eastAsia="Arial" w:hAnsi="Arial" w:cs="Arial"/>
          <w:sz w:val="24"/>
          <w:szCs w:val="24"/>
        </w:rPr>
      </w:pPr>
      <w:r w:rsidRPr="0073600E">
        <w:rPr>
          <w:rFonts w:ascii="Arial" w:eastAsia="Arial" w:hAnsi="Arial" w:cs="Arial"/>
          <w:sz w:val="24"/>
          <w:szCs w:val="24"/>
        </w:rPr>
        <w:t>Concepto de corrupción</w:t>
      </w:r>
    </w:p>
    <w:p w14:paraId="07AC09B3" w14:textId="1009D761" w:rsidR="00474569" w:rsidRPr="0073600E" w:rsidRDefault="00474569" w:rsidP="0073600E">
      <w:pPr>
        <w:pStyle w:val="Prrafodelista"/>
        <w:numPr>
          <w:ilvl w:val="1"/>
          <w:numId w:val="6"/>
        </w:numPr>
        <w:spacing w:after="0" w:line="240" w:lineRule="auto"/>
        <w:jc w:val="both"/>
        <w:rPr>
          <w:rFonts w:ascii="Arial" w:eastAsia="Arial" w:hAnsi="Arial" w:cs="Arial"/>
          <w:sz w:val="24"/>
          <w:szCs w:val="24"/>
        </w:rPr>
      </w:pPr>
      <w:r w:rsidRPr="0073600E">
        <w:rPr>
          <w:rFonts w:ascii="Arial" w:eastAsia="Arial" w:hAnsi="Arial" w:cs="Arial"/>
          <w:sz w:val="24"/>
          <w:szCs w:val="24"/>
        </w:rPr>
        <w:t>Formas de corrupción</w:t>
      </w:r>
    </w:p>
    <w:p w14:paraId="64985D08" w14:textId="1F965CEB" w:rsidR="00474569" w:rsidRPr="0073600E" w:rsidRDefault="00474569" w:rsidP="0073600E">
      <w:pPr>
        <w:pStyle w:val="Prrafodelista"/>
        <w:numPr>
          <w:ilvl w:val="2"/>
          <w:numId w:val="6"/>
        </w:numPr>
        <w:spacing w:after="0" w:line="240" w:lineRule="auto"/>
        <w:jc w:val="both"/>
        <w:rPr>
          <w:rFonts w:ascii="Arial" w:eastAsia="Arial" w:hAnsi="Arial" w:cs="Arial"/>
          <w:sz w:val="24"/>
          <w:szCs w:val="24"/>
        </w:rPr>
      </w:pPr>
      <w:r w:rsidRPr="0073600E">
        <w:rPr>
          <w:rFonts w:ascii="Arial" w:eastAsia="Arial" w:hAnsi="Arial" w:cs="Arial"/>
          <w:sz w:val="24"/>
          <w:szCs w:val="24"/>
        </w:rPr>
        <w:t>Corrupción pública</w:t>
      </w:r>
    </w:p>
    <w:p w14:paraId="667763E2" w14:textId="459EACC9" w:rsidR="00474569" w:rsidRPr="0073600E" w:rsidRDefault="00474569" w:rsidP="0073600E">
      <w:pPr>
        <w:pStyle w:val="Prrafodelista"/>
        <w:numPr>
          <w:ilvl w:val="2"/>
          <w:numId w:val="6"/>
        </w:numPr>
        <w:spacing w:after="0" w:line="240" w:lineRule="auto"/>
        <w:jc w:val="both"/>
        <w:rPr>
          <w:rFonts w:ascii="Arial" w:eastAsia="Arial" w:hAnsi="Arial" w:cs="Arial"/>
          <w:sz w:val="24"/>
          <w:szCs w:val="24"/>
        </w:rPr>
      </w:pPr>
      <w:r w:rsidRPr="0073600E">
        <w:rPr>
          <w:rFonts w:ascii="Arial" w:eastAsia="Arial" w:hAnsi="Arial" w:cs="Arial"/>
          <w:sz w:val="24"/>
          <w:szCs w:val="24"/>
        </w:rPr>
        <w:t>Corrupción privada</w:t>
      </w:r>
    </w:p>
    <w:p w14:paraId="102FFB56" w14:textId="1BF69BC8" w:rsidR="00474569" w:rsidRPr="0073600E" w:rsidRDefault="00474569" w:rsidP="0073600E">
      <w:pPr>
        <w:pStyle w:val="Prrafodelista"/>
        <w:numPr>
          <w:ilvl w:val="1"/>
          <w:numId w:val="6"/>
        </w:numPr>
        <w:spacing w:after="0" w:line="240" w:lineRule="auto"/>
        <w:jc w:val="both"/>
        <w:rPr>
          <w:rFonts w:ascii="Arial" w:eastAsia="Arial" w:hAnsi="Arial" w:cs="Arial"/>
          <w:sz w:val="24"/>
          <w:szCs w:val="24"/>
        </w:rPr>
      </w:pPr>
      <w:r w:rsidRPr="0073600E">
        <w:rPr>
          <w:rFonts w:ascii="Arial" w:eastAsia="Arial" w:hAnsi="Arial" w:cs="Arial"/>
          <w:sz w:val="24"/>
          <w:szCs w:val="24"/>
        </w:rPr>
        <w:t>Prevención de la corrupción</w:t>
      </w:r>
    </w:p>
    <w:p w14:paraId="678ED371" w14:textId="77777777" w:rsidR="0073600E" w:rsidRDefault="0073600E" w:rsidP="0073600E">
      <w:pPr>
        <w:ind w:left="1080"/>
        <w:jc w:val="both"/>
        <w:rPr>
          <w:rFonts w:ascii="Arial" w:eastAsia="Arial" w:hAnsi="Arial" w:cs="Arial"/>
          <w:b/>
          <w:color w:val="002060"/>
        </w:rPr>
      </w:pPr>
    </w:p>
    <w:p w14:paraId="09A90FDF" w14:textId="0DA755AF" w:rsidR="001D3B83" w:rsidRPr="0073600E" w:rsidRDefault="00000000" w:rsidP="0073600E">
      <w:pPr>
        <w:ind w:firstLine="720"/>
        <w:jc w:val="both"/>
        <w:rPr>
          <w:rFonts w:ascii="Arial" w:eastAsia="Arial" w:hAnsi="Arial" w:cs="Arial"/>
          <w:b/>
          <w:color w:val="002060"/>
        </w:rPr>
      </w:pPr>
      <w:r w:rsidRPr="0073600E">
        <w:rPr>
          <w:rFonts w:ascii="Arial" w:eastAsia="Arial" w:hAnsi="Arial" w:cs="Arial"/>
          <w:b/>
          <w:color w:val="002060"/>
        </w:rPr>
        <w:t xml:space="preserve">Unidad de aprendizaje N° </w:t>
      </w:r>
      <w:r w:rsidR="00474569" w:rsidRPr="0073600E">
        <w:rPr>
          <w:rFonts w:ascii="Arial" w:eastAsia="Arial" w:hAnsi="Arial" w:cs="Arial"/>
          <w:b/>
          <w:color w:val="002060"/>
        </w:rPr>
        <w:t>2</w:t>
      </w:r>
      <w:r w:rsidRPr="0073600E">
        <w:rPr>
          <w:rFonts w:ascii="Arial" w:eastAsia="Arial" w:hAnsi="Arial" w:cs="Arial"/>
          <w:b/>
          <w:color w:val="002060"/>
        </w:rPr>
        <w:t>: Técnicas de litigación oral.</w:t>
      </w:r>
    </w:p>
    <w:p w14:paraId="038F3644" w14:textId="77777777" w:rsidR="00474569" w:rsidRPr="0073600E" w:rsidRDefault="00000000" w:rsidP="0073600E">
      <w:pPr>
        <w:pStyle w:val="Prrafodelista"/>
        <w:numPr>
          <w:ilvl w:val="1"/>
          <w:numId w:val="8"/>
        </w:numPr>
        <w:spacing w:after="0" w:line="240" w:lineRule="auto"/>
        <w:jc w:val="both"/>
        <w:rPr>
          <w:rFonts w:ascii="Arial" w:eastAsia="Arial" w:hAnsi="Arial" w:cs="Arial"/>
          <w:sz w:val="24"/>
          <w:szCs w:val="24"/>
        </w:rPr>
      </w:pPr>
      <w:r w:rsidRPr="0073600E">
        <w:rPr>
          <w:rFonts w:ascii="Arial" w:eastAsia="Arial" w:hAnsi="Arial" w:cs="Arial"/>
          <w:sz w:val="24"/>
          <w:szCs w:val="24"/>
        </w:rPr>
        <w:t>Principios</w:t>
      </w:r>
      <w:r w:rsidR="00474569" w:rsidRPr="0073600E">
        <w:rPr>
          <w:rFonts w:ascii="Arial" w:eastAsia="Arial" w:hAnsi="Arial" w:cs="Arial"/>
          <w:sz w:val="24"/>
          <w:szCs w:val="24"/>
        </w:rPr>
        <w:t xml:space="preserve"> </w:t>
      </w:r>
      <w:r w:rsidRPr="0073600E">
        <w:rPr>
          <w:rFonts w:ascii="Arial" w:eastAsia="Arial" w:hAnsi="Arial" w:cs="Arial"/>
          <w:sz w:val="24"/>
          <w:szCs w:val="24"/>
        </w:rPr>
        <w:t>de la litigación oral</w:t>
      </w:r>
    </w:p>
    <w:p w14:paraId="7E7BEB43" w14:textId="77777777" w:rsidR="00474569" w:rsidRPr="0073600E" w:rsidRDefault="00474569" w:rsidP="0073600E">
      <w:pPr>
        <w:pStyle w:val="Prrafodelista"/>
        <w:numPr>
          <w:ilvl w:val="1"/>
          <w:numId w:val="8"/>
        </w:numPr>
        <w:spacing w:after="0" w:line="240" w:lineRule="auto"/>
        <w:jc w:val="both"/>
        <w:rPr>
          <w:rFonts w:ascii="Arial" w:eastAsia="Arial" w:hAnsi="Arial" w:cs="Arial"/>
          <w:sz w:val="24"/>
          <w:szCs w:val="24"/>
        </w:rPr>
      </w:pPr>
      <w:r w:rsidRPr="0073600E">
        <w:rPr>
          <w:rFonts w:ascii="Arial" w:eastAsia="Arial" w:hAnsi="Arial" w:cs="Arial"/>
          <w:sz w:val="24"/>
          <w:szCs w:val="24"/>
        </w:rPr>
        <w:t>Estructura de los alegatos orales</w:t>
      </w:r>
    </w:p>
    <w:p w14:paraId="377DFB2F" w14:textId="77777777" w:rsidR="00474569" w:rsidRPr="0073600E" w:rsidRDefault="00474569" w:rsidP="0073600E">
      <w:pPr>
        <w:pStyle w:val="Prrafodelista"/>
        <w:numPr>
          <w:ilvl w:val="1"/>
          <w:numId w:val="8"/>
        </w:numPr>
        <w:spacing w:after="0" w:line="240" w:lineRule="auto"/>
        <w:jc w:val="both"/>
        <w:rPr>
          <w:rFonts w:ascii="Arial" w:eastAsia="Arial" w:hAnsi="Arial" w:cs="Arial"/>
          <w:sz w:val="24"/>
          <w:szCs w:val="24"/>
        </w:rPr>
      </w:pPr>
      <w:r w:rsidRPr="0073600E">
        <w:rPr>
          <w:rFonts w:ascii="Arial" w:eastAsia="Arial" w:hAnsi="Arial" w:cs="Arial"/>
          <w:sz w:val="24"/>
          <w:szCs w:val="24"/>
        </w:rPr>
        <w:t>Técnicas para el interrogatorio</w:t>
      </w:r>
    </w:p>
    <w:p w14:paraId="2FBBE69F" w14:textId="0AA23507" w:rsidR="00474569" w:rsidRPr="0073600E" w:rsidRDefault="00474569" w:rsidP="0073600E">
      <w:pPr>
        <w:pStyle w:val="Prrafodelista"/>
        <w:numPr>
          <w:ilvl w:val="1"/>
          <w:numId w:val="8"/>
        </w:numPr>
        <w:spacing w:after="0" w:line="240" w:lineRule="auto"/>
        <w:jc w:val="both"/>
        <w:rPr>
          <w:rFonts w:ascii="Arial" w:eastAsia="Arial" w:hAnsi="Arial" w:cs="Arial"/>
          <w:sz w:val="24"/>
          <w:szCs w:val="24"/>
        </w:rPr>
      </w:pPr>
      <w:r w:rsidRPr="0073600E">
        <w:rPr>
          <w:rFonts w:ascii="Arial" w:eastAsia="Arial" w:hAnsi="Arial" w:cs="Arial"/>
          <w:sz w:val="24"/>
          <w:szCs w:val="24"/>
        </w:rPr>
        <w:lastRenderedPageBreak/>
        <w:t>Litigación virtual</w:t>
      </w:r>
    </w:p>
    <w:p w14:paraId="1394B636" w14:textId="77777777" w:rsidR="0073600E" w:rsidRDefault="0073600E" w:rsidP="0073600E">
      <w:pPr>
        <w:ind w:left="1080"/>
        <w:jc w:val="both"/>
        <w:rPr>
          <w:rFonts w:ascii="Arial" w:eastAsia="Arial" w:hAnsi="Arial" w:cs="Arial"/>
          <w:b/>
          <w:color w:val="002060"/>
        </w:rPr>
      </w:pPr>
    </w:p>
    <w:p w14:paraId="6809DFA7" w14:textId="6D529115" w:rsidR="00474569" w:rsidRPr="0073600E" w:rsidRDefault="00474569" w:rsidP="0073600E">
      <w:pPr>
        <w:ind w:left="720"/>
        <w:jc w:val="both"/>
        <w:rPr>
          <w:rFonts w:ascii="Arial" w:eastAsia="Arial" w:hAnsi="Arial" w:cs="Arial"/>
          <w:b/>
          <w:color w:val="002060"/>
        </w:rPr>
      </w:pPr>
      <w:r w:rsidRPr="0073600E">
        <w:rPr>
          <w:rFonts w:ascii="Arial" w:eastAsia="Arial" w:hAnsi="Arial" w:cs="Arial"/>
          <w:b/>
          <w:color w:val="002060"/>
        </w:rPr>
        <w:t>Unidad de aprendizaje N° 3: Delitos de corrupción con mayor índice delictivo: colusión, negociación incompatible y peculado</w:t>
      </w:r>
    </w:p>
    <w:p w14:paraId="16878519" w14:textId="77777777" w:rsidR="00474569" w:rsidRPr="0073600E" w:rsidRDefault="00474569" w:rsidP="0073600E">
      <w:pPr>
        <w:ind w:left="1080"/>
        <w:jc w:val="both"/>
        <w:rPr>
          <w:rFonts w:ascii="Arial" w:eastAsia="Arial" w:hAnsi="Arial" w:cs="Arial"/>
        </w:rPr>
      </w:pPr>
    </w:p>
    <w:p w14:paraId="6A460471" w14:textId="74CECA18" w:rsidR="00474569" w:rsidRPr="0073600E" w:rsidRDefault="00474569" w:rsidP="0073600E">
      <w:pPr>
        <w:pStyle w:val="Prrafodelista"/>
        <w:numPr>
          <w:ilvl w:val="1"/>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Autoría y participación en delitos contra la administración pública</w:t>
      </w:r>
    </w:p>
    <w:p w14:paraId="148529FD" w14:textId="34B4EF50" w:rsidR="00474569" w:rsidRPr="0073600E" w:rsidRDefault="00474569" w:rsidP="0073600E">
      <w:pPr>
        <w:pStyle w:val="Prrafodelista"/>
        <w:numPr>
          <w:ilvl w:val="1"/>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Concepto de funcionario público</w:t>
      </w:r>
    </w:p>
    <w:p w14:paraId="1C4DA88E" w14:textId="735777C7" w:rsidR="00474569" w:rsidRPr="0073600E" w:rsidRDefault="00474569" w:rsidP="0073600E">
      <w:pPr>
        <w:pStyle w:val="Prrafodelista"/>
        <w:numPr>
          <w:ilvl w:val="1"/>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Delimitación entre delitos e infracciones administrativas</w:t>
      </w:r>
    </w:p>
    <w:p w14:paraId="7D9B088C" w14:textId="53D7B80B" w:rsidR="00474569" w:rsidRPr="0073600E" w:rsidRDefault="00474569" w:rsidP="0073600E">
      <w:pPr>
        <w:pStyle w:val="Prrafodelista"/>
        <w:numPr>
          <w:ilvl w:val="1"/>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Responsabilidad penal de las personas jurídicas</w:t>
      </w:r>
    </w:p>
    <w:p w14:paraId="15BC5E0F" w14:textId="6E92B7DE"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Ley Nº 30424</w:t>
      </w:r>
    </w:p>
    <w:p w14:paraId="0DA4BEF4" w14:textId="4F8510F8"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Naturaleza de la responsabilidad penal</w:t>
      </w:r>
    </w:p>
    <w:p w14:paraId="3EE8DCED" w14:textId="5A7DCFB3"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Modelos de prevención</w:t>
      </w:r>
    </w:p>
    <w:p w14:paraId="3A0C5390" w14:textId="77777777" w:rsidR="00474569" w:rsidRPr="0073600E" w:rsidRDefault="00474569" w:rsidP="0073600E">
      <w:pPr>
        <w:pStyle w:val="Prrafodelista"/>
        <w:numPr>
          <w:ilvl w:val="1"/>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Delito de Colusión</w:t>
      </w:r>
    </w:p>
    <w:p w14:paraId="56158CF7" w14:textId="52CCDB20"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Acto de concertación ilegal</w:t>
      </w:r>
    </w:p>
    <w:p w14:paraId="17FF301F" w14:textId="3B917A23"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Perjuicio patrimonial</w:t>
      </w:r>
    </w:p>
    <w:p w14:paraId="57075CB1" w14:textId="53F1EAA6"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Aspecto subjetivo del delito</w:t>
      </w:r>
    </w:p>
    <w:p w14:paraId="02C3CE21" w14:textId="2391F3F7"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Casos prácticos</w:t>
      </w:r>
    </w:p>
    <w:p w14:paraId="2F30EEA7" w14:textId="6E514C82" w:rsidR="00474569" w:rsidRPr="0073600E" w:rsidRDefault="00474569" w:rsidP="0073600E">
      <w:pPr>
        <w:pStyle w:val="Prrafodelista"/>
        <w:numPr>
          <w:ilvl w:val="1"/>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Delito de Negociación Incompatible</w:t>
      </w:r>
    </w:p>
    <w:p w14:paraId="2567702F" w14:textId="78B28B62"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Aspecto objetivo del delito</w:t>
      </w:r>
    </w:p>
    <w:p w14:paraId="3AADBC96" w14:textId="77777777"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Aspecto subjetivo del delito</w:t>
      </w:r>
    </w:p>
    <w:p w14:paraId="3FF108AB" w14:textId="0E199468"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Casos prácticos</w:t>
      </w:r>
    </w:p>
    <w:p w14:paraId="6D7557BF" w14:textId="6EA6822D" w:rsidR="00474569" w:rsidRPr="0073600E" w:rsidRDefault="00474569" w:rsidP="0073600E">
      <w:pPr>
        <w:pStyle w:val="Prrafodelista"/>
        <w:numPr>
          <w:ilvl w:val="1"/>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Delito de Peculado</w:t>
      </w:r>
    </w:p>
    <w:p w14:paraId="0D91CAAB" w14:textId="77777777"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Aspecto objetivo del delito</w:t>
      </w:r>
    </w:p>
    <w:p w14:paraId="2D18AFD4" w14:textId="77777777"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Aspecto subjetivo del delito</w:t>
      </w:r>
    </w:p>
    <w:p w14:paraId="08D655C5" w14:textId="5BB21C88" w:rsidR="00474569" w:rsidRPr="0073600E" w:rsidRDefault="00474569" w:rsidP="0073600E">
      <w:pPr>
        <w:pStyle w:val="Prrafodelista"/>
        <w:numPr>
          <w:ilvl w:val="2"/>
          <w:numId w:val="9"/>
        </w:numPr>
        <w:spacing w:after="0" w:line="240" w:lineRule="auto"/>
        <w:jc w:val="both"/>
        <w:rPr>
          <w:rFonts w:ascii="Arial" w:eastAsia="Arial" w:hAnsi="Arial" w:cs="Arial"/>
          <w:sz w:val="24"/>
          <w:szCs w:val="24"/>
        </w:rPr>
      </w:pPr>
      <w:r w:rsidRPr="0073600E">
        <w:rPr>
          <w:rFonts w:ascii="Arial" w:eastAsia="Arial" w:hAnsi="Arial" w:cs="Arial"/>
          <w:sz w:val="24"/>
          <w:szCs w:val="24"/>
        </w:rPr>
        <w:t>Casos prácticos</w:t>
      </w:r>
    </w:p>
    <w:p w14:paraId="62097A6A" w14:textId="77777777" w:rsidR="00474569" w:rsidRPr="0073600E" w:rsidRDefault="00474569" w:rsidP="0073600E">
      <w:pPr>
        <w:ind w:left="1080"/>
        <w:jc w:val="both"/>
        <w:rPr>
          <w:rFonts w:ascii="Arial" w:eastAsia="Arial" w:hAnsi="Arial" w:cs="Arial"/>
        </w:rPr>
      </w:pPr>
    </w:p>
    <w:p w14:paraId="315977D9" w14:textId="77777777" w:rsidR="001D3B83" w:rsidRPr="0073600E" w:rsidRDefault="001D3B83" w:rsidP="0073600E">
      <w:pPr>
        <w:ind w:left="1080"/>
        <w:jc w:val="both"/>
        <w:rPr>
          <w:rFonts w:ascii="Arial" w:eastAsia="Arial" w:hAnsi="Arial" w:cs="Arial"/>
          <w:b/>
          <w:highlight w:val="yellow"/>
        </w:rPr>
      </w:pPr>
    </w:p>
    <w:p w14:paraId="5057824B" w14:textId="77777777" w:rsidR="001D3B83" w:rsidRPr="0073600E" w:rsidRDefault="00000000" w:rsidP="0073600E">
      <w:pPr>
        <w:numPr>
          <w:ilvl w:val="0"/>
          <w:numId w:val="5"/>
        </w:numPr>
        <w:jc w:val="both"/>
        <w:rPr>
          <w:rFonts w:ascii="Arial" w:eastAsia="Arial" w:hAnsi="Arial" w:cs="Arial"/>
          <w:b/>
          <w:color w:val="002060"/>
        </w:rPr>
      </w:pPr>
      <w:r w:rsidRPr="0073600E">
        <w:rPr>
          <w:rFonts w:ascii="Arial" w:eastAsia="Arial" w:hAnsi="Arial" w:cs="Arial"/>
          <w:b/>
          <w:color w:val="002060"/>
        </w:rPr>
        <w:t>METODOLOGÍA</w:t>
      </w:r>
    </w:p>
    <w:p w14:paraId="482E5581" w14:textId="77777777" w:rsidR="001D3B83" w:rsidRPr="0073600E" w:rsidRDefault="001D3B83" w:rsidP="0073600E">
      <w:pPr>
        <w:jc w:val="both"/>
        <w:rPr>
          <w:rFonts w:ascii="Arial" w:eastAsia="Arial" w:hAnsi="Arial" w:cs="Arial"/>
          <w:b/>
        </w:rPr>
      </w:pPr>
    </w:p>
    <w:p w14:paraId="34932309" w14:textId="77777777" w:rsidR="001D3B83" w:rsidRPr="0073600E" w:rsidRDefault="00000000" w:rsidP="0073600E">
      <w:pPr>
        <w:ind w:left="720"/>
        <w:rPr>
          <w:rFonts w:ascii="Arial" w:eastAsia="Arial" w:hAnsi="Arial" w:cs="Arial"/>
        </w:rPr>
      </w:pPr>
      <w:r w:rsidRPr="0073600E">
        <w:rPr>
          <w:rFonts w:ascii="Arial" w:eastAsia="Arial" w:hAnsi="Arial" w:cs="Arial"/>
        </w:rPr>
        <w:t>La metodología del curso de especialización combina:</w:t>
      </w:r>
    </w:p>
    <w:p w14:paraId="0BB3DCB3" w14:textId="77777777" w:rsidR="001D3B83" w:rsidRPr="0073600E" w:rsidRDefault="00000000" w:rsidP="0073600E">
      <w:pPr>
        <w:numPr>
          <w:ilvl w:val="0"/>
          <w:numId w:val="4"/>
        </w:numPr>
        <w:pBdr>
          <w:top w:val="nil"/>
          <w:left w:val="nil"/>
          <w:bottom w:val="nil"/>
          <w:right w:val="nil"/>
          <w:between w:val="nil"/>
        </w:pBdr>
        <w:ind w:left="1440"/>
        <w:jc w:val="both"/>
        <w:rPr>
          <w:rFonts w:ascii="Arial" w:eastAsia="Arial" w:hAnsi="Arial" w:cs="Arial"/>
          <w:color w:val="000000"/>
        </w:rPr>
      </w:pPr>
      <w:r w:rsidRPr="0073600E">
        <w:rPr>
          <w:rFonts w:ascii="Arial" w:eastAsia="Arial" w:hAnsi="Arial" w:cs="Arial"/>
          <w:b/>
          <w:color w:val="002060"/>
        </w:rPr>
        <w:t>Sesiones sincrónicas</w:t>
      </w:r>
      <w:r w:rsidRPr="0073600E">
        <w:rPr>
          <w:rFonts w:ascii="Arial" w:eastAsia="Arial" w:hAnsi="Arial" w:cs="Arial"/>
          <w:color w:val="000000"/>
        </w:rPr>
        <w:t xml:space="preserve">, dictadas a través de la plataforma Zoom y actividades asincrónicas donde se abordarán contenidos teóricos, aplicaciones, lecciones aprendidas y reflexiones innovadoras. </w:t>
      </w:r>
    </w:p>
    <w:p w14:paraId="0E267CFF" w14:textId="77777777" w:rsidR="001D3B83" w:rsidRPr="0073600E" w:rsidRDefault="00000000" w:rsidP="0073600E">
      <w:pPr>
        <w:numPr>
          <w:ilvl w:val="0"/>
          <w:numId w:val="4"/>
        </w:numPr>
        <w:pBdr>
          <w:top w:val="nil"/>
          <w:left w:val="nil"/>
          <w:bottom w:val="nil"/>
          <w:right w:val="nil"/>
          <w:between w:val="nil"/>
        </w:pBdr>
        <w:ind w:left="1440"/>
        <w:jc w:val="both"/>
        <w:rPr>
          <w:rFonts w:ascii="Arial" w:eastAsia="Arial" w:hAnsi="Arial" w:cs="Arial"/>
          <w:color w:val="000000"/>
        </w:rPr>
      </w:pPr>
      <w:r w:rsidRPr="0073600E">
        <w:rPr>
          <w:rFonts w:ascii="Arial" w:eastAsia="Arial" w:hAnsi="Arial" w:cs="Arial"/>
          <w:b/>
          <w:color w:val="002060"/>
        </w:rPr>
        <w:t>Actividades asincrónicas</w:t>
      </w:r>
      <w:r w:rsidRPr="0073600E">
        <w:rPr>
          <w:rFonts w:ascii="Arial" w:eastAsia="Arial" w:hAnsi="Arial" w:cs="Arial"/>
          <w:b/>
          <w:color w:val="000000"/>
        </w:rPr>
        <w:t xml:space="preserve">, </w:t>
      </w:r>
      <w:r w:rsidRPr="0073600E">
        <w:rPr>
          <w:rFonts w:ascii="Arial" w:eastAsia="Arial" w:hAnsi="Arial" w:cs="Arial"/>
          <w:color w:val="000000"/>
        </w:rPr>
        <w:t>lecturas, foros de discusión y demás materiales del curso estarán alojados en la plataforma educativa Moodle de la Procuraduría General del Estado.</w:t>
      </w:r>
    </w:p>
    <w:p w14:paraId="6E62588B" w14:textId="77777777" w:rsidR="001D3B83" w:rsidRPr="0073600E" w:rsidRDefault="001D3B83" w:rsidP="0073600E">
      <w:pPr>
        <w:jc w:val="both"/>
        <w:rPr>
          <w:rFonts w:ascii="Arial" w:eastAsia="Arial" w:hAnsi="Arial" w:cs="Arial"/>
          <w:b/>
        </w:rPr>
      </w:pPr>
    </w:p>
    <w:p w14:paraId="4DEBB339" w14:textId="77777777" w:rsidR="001D3B83" w:rsidRPr="0073600E" w:rsidRDefault="001D3B83" w:rsidP="0073600E">
      <w:pPr>
        <w:ind w:left="1080"/>
        <w:jc w:val="both"/>
        <w:rPr>
          <w:rFonts w:ascii="Arial" w:eastAsia="Arial" w:hAnsi="Arial" w:cs="Arial"/>
          <w:b/>
        </w:rPr>
      </w:pPr>
    </w:p>
    <w:p w14:paraId="66476CBE" w14:textId="77777777" w:rsidR="001D3B83" w:rsidRPr="0073600E" w:rsidRDefault="001D3B83" w:rsidP="0073600E">
      <w:pPr>
        <w:ind w:left="1080"/>
        <w:jc w:val="both"/>
        <w:rPr>
          <w:rFonts w:ascii="Arial" w:eastAsia="Arial" w:hAnsi="Arial" w:cs="Arial"/>
          <w:b/>
        </w:rPr>
      </w:pPr>
    </w:p>
    <w:p w14:paraId="5D23A976" w14:textId="77777777" w:rsidR="001D3B83" w:rsidRPr="0073600E" w:rsidRDefault="00000000" w:rsidP="0073600E">
      <w:pPr>
        <w:numPr>
          <w:ilvl w:val="0"/>
          <w:numId w:val="5"/>
        </w:numPr>
        <w:jc w:val="both"/>
        <w:rPr>
          <w:rFonts w:ascii="Arial" w:eastAsia="Arial" w:hAnsi="Arial" w:cs="Arial"/>
          <w:b/>
          <w:color w:val="002060"/>
        </w:rPr>
      </w:pPr>
      <w:r w:rsidRPr="0073600E">
        <w:rPr>
          <w:rFonts w:ascii="Arial" w:eastAsia="Arial" w:hAnsi="Arial" w:cs="Arial"/>
          <w:b/>
          <w:color w:val="002060"/>
        </w:rPr>
        <w:t xml:space="preserve">EVALUACIÓN </w:t>
      </w:r>
    </w:p>
    <w:p w14:paraId="3C28F80C" w14:textId="77777777" w:rsidR="001D3B83" w:rsidRPr="0073600E" w:rsidRDefault="001D3B83" w:rsidP="0073600E">
      <w:pPr>
        <w:jc w:val="both"/>
        <w:rPr>
          <w:rFonts w:ascii="Arial" w:eastAsia="Arial" w:hAnsi="Arial" w:cs="Arial"/>
        </w:rPr>
      </w:pPr>
    </w:p>
    <w:p w14:paraId="0AC0B895" w14:textId="77777777" w:rsidR="001D3B83" w:rsidRPr="0073600E" w:rsidRDefault="00000000" w:rsidP="0073600E">
      <w:pPr>
        <w:ind w:left="720"/>
        <w:jc w:val="both"/>
        <w:rPr>
          <w:rFonts w:ascii="Arial" w:eastAsia="Arial" w:hAnsi="Arial" w:cs="Arial"/>
        </w:rPr>
      </w:pPr>
      <w:r w:rsidRPr="0073600E">
        <w:rPr>
          <w:rFonts w:ascii="Arial" w:eastAsia="Arial" w:hAnsi="Arial" w:cs="Arial"/>
        </w:rPr>
        <w:t>La evaluación del aprendizaje es concebida como un proceso continuo que permite verificar y valorar el aprendizaje alcanzado por el/la participantes, en función a lo que se pretende lograr. Para la evaluación del aprendizaje se considerarán las siguientes actividades o productos que integran diversos aprendizajes:</w:t>
      </w:r>
    </w:p>
    <w:p w14:paraId="1E75E5E7" w14:textId="77777777" w:rsidR="001D3B83" w:rsidRPr="0073600E" w:rsidRDefault="001D3B83" w:rsidP="0073600E">
      <w:pPr>
        <w:jc w:val="both"/>
        <w:rPr>
          <w:rFonts w:ascii="Arial" w:eastAsia="Arial" w:hAnsi="Arial" w:cs="Arial"/>
        </w:rPr>
      </w:pPr>
    </w:p>
    <w:tbl>
      <w:tblPr>
        <w:tblStyle w:val="a1"/>
        <w:tblW w:w="7796" w:type="dxa"/>
        <w:tblInd w:w="704" w:type="dxa"/>
        <w:tblLayout w:type="fixed"/>
        <w:tblLook w:val="0400" w:firstRow="0" w:lastRow="0" w:firstColumn="0" w:lastColumn="0" w:noHBand="0" w:noVBand="1"/>
      </w:tblPr>
      <w:tblGrid>
        <w:gridCol w:w="5528"/>
        <w:gridCol w:w="2268"/>
      </w:tblGrid>
      <w:tr w:rsidR="001D3B83" w:rsidRPr="0073600E" w14:paraId="2AF702A9" w14:textId="77777777" w:rsidTr="0073600E">
        <w:trPr>
          <w:trHeight w:val="578"/>
        </w:trPr>
        <w:tc>
          <w:tcPr>
            <w:tcW w:w="5528"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C01841E" w14:textId="77777777" w:rsidR="001D3B83" w:rsidRPr="0073600E" w:rsidRDefault="00000000" w:rsidP="0073600E">
            <w:pPr>
              <w:jc w:val="center"/>
              <w:rPr>
                <w:rFonts w:ascii="Arial" w:eastAsia="Arial" w:hAnsi="Arial" w:cs="Arial"/>
                <w:b/>
                <w:color w:val="FFFFFF"/>
              </w:rPr>
            </w:pPr>
            <w:r w:rsidRPr="0073600E">
              <w:rPr>
                <w:rFonts w:ascii="Arial" w:eastAsia="Arial" w:hAnsi="Arial" w:cs="Arial"/>
                <w:b/>
                <w:color w:val="FFFFFF"/>
              </w:rPr>
              <w:t>Actividad evaluativa</w:t>
            </w:r>
          </w:p>
        </w:tc>
        <w:tc>
          <w:tcPr>
            <w:tcW w:w="2268" w:type="dxa"/>
            <w:tcBorders>
              <w:top w:val="single" w:sz="4" w:space="0" w:color="000000"/>
              <w:left w:val="nil"/>
              <w:bottom w:val="single" w:sz="4" w:space="0" w:color="000000"/>
              <w:right w:val="single" w:sz="4" w:space="0" w:color="000000"/>
            </w:tcBorders>
            <w:shd w:val="clear" w:color="auto" w:fill="C00000"/>
            <w:vAlign w:val="center"/>
          </w:tcPr>
          <w:p w14:paraId="51364B63" w14:textId="77777777" w:rsidR="001D3B83" w:rsidRPr="0073600E" w:rsidRDefault="00000000" w:rsidP="0073600E">
            <w:pPr>
              <w:jc w:val="center"/>
              <w:rPr>
                <w:rFonts w:ascii="Arial" w:eastAsia="Arial" w:hAnsi="Arial" w:cs="Arial"/>
                <w:b/>
                <w:color w:val="FFFFFF"/>
              </w:rPr>
            </w:pPr>
            <w:r w:rsidRPr="0073600E">
              <w:rPr>
                <w:rFonts w:ascii="Arial" w:eastAsia="Arial" w:hAnsi="Arial" w:cs="Arial"/>
                <w:b/>
                <w:color w:val="FFFFFF"/>
              </w:rPr>
              <w:t>%</w:t>
            </w:r>
          </w:p>
        </w:tc>
      </w:tr>
      <w:tr w:rsidR="001D3B83" w:rsidRPr="0073600E" w14:paraId="7D59DB5A" w14:textId="77777777" w:rsidTr="0073600E">
        <w:trPr>
          <w:trHeight w:val="348"/>
        </w:trPr>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DE43C" w14:textId="77777777" w:rsidR="001D3B83" w:rsidRPr="0073600E" w:rsidRDefault="00000000" w:rsidP="0073600E">
            <w:pPr>
              <w:rPr>
                <w:rFonts w:ascii="Arial" w:eastAsia="Arial" w:hAnsi="Arial" w:cs="Arial"/>
              </w:rPr>
            </w:pPr>
            <w:r w:rsidRPr="0073600E">
              <w:rPr>
                <w:rFonts w:ascii="Arial" w:eastAsia="Arial" w:hAnsi="Arial" w:cs="Arial"/>
              </w:rPr>
              <w:lastRenderedPageBreak/>
              <w:t>Prueba de entrada  (sin calificación)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BFA4" w14:textId="77777777" w:rsidR="001D3B83" w:rsidRPr="0073600E" w:rsidRDefault="00000000" w:rsidP="0073600E">
            <w:pPr>
              <w:jc w:val="center"/>
              <w:rPr>
                <w:rFonts w:ascii="Arial" w:eastAsia="Arial" w:hAnsi="Arial" w:cs="Arial"/>
              </w:rPr>
            </w:pPr>
            <w:r w:rsidRPr="0073600E">
              <w:rPr>
                <w:rFonts w:ascii="Arial" w:eastAsia="Arial" w:hAnsi="Arial" w:cs="Arial"/>
              </w:rPr>
              <w:t>0%</w:t>
            </w:r>
          </w:p>
        </w:tc>
      </w:tr>
      <w:tr w:rsidR="001D3B83" w:rsidRPr="0073600E" w14:paraId="2178A35F" w14:textId="77777777" w:rsidTr="0073600E">
        <w:trPr>
          <w:trHeight w:val="409"/>
        </w:trPr>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117A8" w14:textId="77777777" w:rsidR="001D3B83" w:rsidRPr="0073600E" w:rsidRDefault="00000000" w:rsidP="0073600E">
            <w:pPr>
              <w:rPr>
                <w:rFonts w:ascii="Arial" w:eastAsia="Arial" w:hAnsi="Arial" w:cs="Arial"/>
              </w:rPr>
            </w:pPr>
            <w:r w:rsidRPr="0073600E">
              <w:rPr>
                <w:rFonts w:ascii="Arial" w:eastAsia="Arial" w:hAnsi="Arial" w:cs="Arial"/>
              </w:rPr>
              <w:t>Participación en sesiones sincrónicas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593ED" w14:textId="77777777" w:rsidR="001D3B83" w:rsidRPr="0073600E" w:rsidRDefault="00000000" w:rsidP="0073600E">
            <w:pPr>
              <w:jc w:val="center"/>
              <w:rPr>
                <w:rFonts w:ascii="Arial" w:eastAsia="Arial" w:hAnsi="Arial" w:cs="Arial"/>
              </w:rPr>
            </w:pPr>
            <w:r w:rsidRPr="0073600E">
              <w:rPr>
                <w:rFonts w:ascii="Arial" w:eastAsia="Arial" w:hAnsi="Arial" w:cs="Arial"/>
              </w:rPr>
              <w:t>10%</w:t>
            </w:r>
          </w:p>
        </w:tc>
      </w:tr>
      <w:tr w:rsidR="001D3B83" w:rsidRPr="0073600E" w14:paraId="23A83973" w14:textId="77777777" w:rsidTr="0073600E">
        <w:trPr>
          <w:trHeight w:val="415"/>
        </w:trPr>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36CD" w14:textId="77777777" w:rsidR="001D3B83" w:rsidRPr="0073600E" w:rsidRDefault="00000000" w:rsidP="0073600E">
            <w:pPr>
              <w:rPr>
                <w:rFonts w:ascii="Arial" w:eastAsia="Arial" w:hAnsi="Arial" w:cs="Arial"/>
              </w:rPr>
            </w:pPr>
            <w:r w:rsidRPr="0073600E">
              <w:rPr>
                <w:rFonts w:ascii="Arial" w:eastAsia="Arial" w:hAnsi="Arial" w:cs="Arial"/>
              </w:rPr>
              <w:t xml:space="preserve">Foro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30E4B" w14:textId="77777777" w:rsidR="001D3B83" w:rsidRPr="0073600E" w:rsidRDefault="00000000" w:rsidP="0073600E">
            <w:pPr>
              <w:jc w:val="center"/>
              <w:rPr>
                <w:rFonts w:ascii="Arial" w:eastAsia="Arial" w:hAnsi="Arial" w:cs="Arial"/>
              </w:rPr>
            </w:pPr>
            <w:r w:rsidRPr="0073600E">
              <w:rPr>
                <w:rFonts w:ascii="Arial" w:eastAsia="Arial" w:hAnsi="Arial" w:cs="Arial"/>
              </w:rPr>
              <w:t>20%</w:t>
            </w:r>
          </w:p>
        </w:tc>
      </w:tr>
      <w:tr w:rsidR="001D3B83" w:rsidRPr="0073600E" w14:paraId="3D00FE7D" w14:textId="77777777" w:rsidTr="0073600E">
        <w:trPr>
          <w:trHeight w:val="421"/>
        </w:trPr>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0C154" w14:textId="77777777" w:rsidR="001D3B83" w:rsidRPr="0073600E" w:rsidRDefault="00000000" w:rsidP="0073600E">
            <w:pPr>
              <w:rPr>
                <w:rFonts w:ascii="Arial" w:eastAsia="Arial" w:hAnsi="Arial" w:cs="Arial"/>
              </w:rPr>
            </w:pPr>
            <w:r w:rsidRPr="0073600E">
              <w:rPr>
                <w:rFonts w:ascii="Arial" w:eastAsia="Arial" w:hAnsi="Arial" w:cs="Arial"/>
              </w:rPr>
              <w:t>Lectura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5711C" w14:textId="77777777" w:rsidR="001D3B83" w:rsidRPr="0073600E" w:rsidRDefault="00000000" w:rsidP="0073600E">
            <w:pPr>
              <w:jc w:val="center"/>
              <w:rPr>
                <w:rFonts w:ascii="Arial" w:eastAsia="Arial" w:hAnsi="Arial" w:cs="Arial"/>
              </w:rPr>
            </w:pPr>
            <w:r w:rsidRPr="0073600E">
              <w:rPr>
                <w:rFonts w:ascii="Arial" w:eastAsia="Arial" w:hAnsi="Arial" w:cs="Arial"/>
              </w:rPr>
              <w:t>10%</w:t>
            </w:r>
          </w:p>
        </w:tc>
      </w:tr>
      <w:tr w:rsidR="001D3B83" w:rsidRPr="0073600E" w14:paraId="14AF28E2" w14:textId="77777777" w:rsidTr="0073600E">
        <w:trPr>
          <w:trHeight w:val="414"/>
        </w:trPr>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C78A" w14:textId="77777777" w:rsidR="001D3B83" w:rsidRPr="0073600E" w:rsidRDefault="00000000" w:rsidP="0073600E">
            <w:pPr>
              <w:rPr>
                <w:rFonts w:ascii="Arial" w:eastAsia="Arial" w:hAnsi="Arial" w:cs="Arial"/>
              </w:rPr>
            </w:pPr>
            <w:r w:rsidRPr="0073600E">
              <w:rPr>
                <w:rFonts w:ascii="Arial" w:eastAsia="Arial" w:hAnsi="Arial" w:cs="Arial"/>
              </w:rPr>
              <w:t xml:space="preserve">Desarrollo de caso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F9EF" w14:textId="77777777" w:rsidR="001D3B83" w:rsidRPr="0073600E" w:rsidRDefault="00000000" w:rsidP="0073600E">
            <w:pPr>
              <w:jc w:val="center"/>
              <w:rPr>
                <w:rFonts w:ascii="Arial" w:eastAsia="Arial" w:hAnsi="Arial" w:cs="Arial"/>
              </w:rPr>
            </w:pPr>
            <w:r w:rsidRPr="0073600E">
              <w:rPr>
                <w:rFonts w:ascii="Arial" w:eastAsia="Arial" w:hAnsi="Arial" w:cs="Arial"/>
              </w:rPr>
              <w:t>50%</w:t>
            </w:r>
          </w:p>
        </w:tc>
      </w:tr>
      <w:tr w:rsidR="001D3B83" w:rsidRPr="0073600E" w14:paraId="351E32DD" w14:textId="77777777" w:rsidTr="0073600E">
        <w:trPr>
          <w:trHeight w:val="419"/>
        </w:trPr>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1E86" w14:textId="77777777" w:rsidR="001D3B83" w:rsidRPr="0073600E" w:rsidRDefault="00000000" w:rsidP="0073600E">
            <w:pPr>
              <w:rPr>
                <w:rFonts w:ascii="Arial" w:eastAsia="Arial" w:hAnsi="Arial" w:cs="Arial"/>
              </w:rPr>
            </w:pPr>
            <w:r w:rsidRPr="0073600E">
              <w:rPr>
                <w:rFonts w:ascii="Arial" w:eastAsia="Arial" w:hAnsi="Arial" w:cs="Arial"/>
              </w:rPr>
              <w:t>Evaluación final (examen con preguntas objetivas)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CBE7" w14:textId="77777777" w:rsidR="001D3B83" w:rsidRPr="0073600E" w:rsidRDefault="00000000" w:rsidP="0073600E">
            <w:pPr>
              <w:jc w:val="center"/>
              <w:rPr>
                <w:rFonts w:ascii="Arial" w:eastAsia="Arial" w:hAnsi="Arial" w:cs="Arial"/>
              </w:rPr>
            </w:pPr>
            <w:r w:rsidRPr="0073600E">
              <w:rPr>
                <w:rFonts w:ascii="Arial" w:eastAsia="Arial" w:hAnsi="Arial" w:cs="Arial"/>
              </w:rPr>
              <w:t>10%</w:t>
            </w:r>
          </w:p>
        </w:tc>
      </w:tr>
      <w:tr w:rsidR="001D3B83" w:rsidRPr="0073600E" w14:paraId="08F192D9" w14:textId="77777777" w:rsidTr="0073600E">
        <w:trPr>
          <w:trHeight w:val="419"/>
        </w:trPr>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208DF" w14:textId="77777777" w:rsidR="001D3B83" w:rsidRPr="0073600E" w:rsidRDefault="00000000" w:rsidP="0073600E">
            <w:pPr>
              <w:jc w:val="center"/>
              <w:rPr>
                <w:rFonts w:ascii="Arial" w:eastAsia="Arial" w:hAnsi="Arial" w:cs="Arial"/>
                <w:b/>
              </w:rPr>
            </w:pPr>
            <w:r w:rsidRPr="0073600E">
              <w:rPr>
                <w:rFonts w:ascii="Arial" w:eastAsia="Arial" w:hAnsi="Arial" w:cs="Arial"/>
                <w:b/>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B42E2" w14:textId="77777777" w:rsidR="001D3B83" w:rsidRPr="0073600E" w:rsidRDefault="00000000" w:rsidP="0073600E">
            <w:pPr>
              <w:jc w:val="center"/>
              <w:rPr>
                <w:rFonts w:ascii="Arial" w:eastAsia="Arial" w:hAnsi="Arial" w:cs="Arial"/>
                <w:b/>
              </w:rPr>
            </w:pPr>
            <w:r w:rsidRPr="0073600E">
              <w:rPr>
                <w:rFonts w:ascii="Arial" w:eastAsia="Arial" w:hAnsi="Arial" w:cs="Arial"/>
                <w:b/>
              </w:rPr>
              <w:t>100%</w:t>
            </w:r>
          </w:p>
        </w:tc>
      </w:tr>
    </w:tbl>
    <w:p w14:paraId="369B51E5" w14:textId="6833F9DE" w:rsidR="001D3B83" w:rsidRDefault="001D3B83" w:rsidP="0073600E">
      <w:pPr>
        <w:jc w:val="both"/>
        <w:rPr>
          <w:rFonts w:ascii="Arial" w:eastAsia="Arial" w:hAnsi="Arial" w:cs="Arial"/>
          <w:b/>
        </w:rPr>
      </w:pPr>
    </w:p>
    <w:p w14:paraId="2D05A0FA" w14:textId="6F784D39" w:rsidR="0073600E" w:rsidRDefault="00F24F15" w:rsidP="00F24F15">
      <w:pPr>
        <w:pStyle w:val="Prrafodelista"/>
        <w:numPr>
          <w:ilvl w:val="0"/>
          <w:numId w:val="10"/>
        </w:numPr>
        <w:jc w:val="both"/>
        <w:rPr>
          <w:rFonts w:ascii="Arial" w:eastAsia="Arial" w:hAnsi="Arial" w:cs="Arial"/>
          <w:bCs/>
        </w:rPr>
      </w:pPr>
      <w:r w:rsidRPr="00F24F15">
        <w:rPr>
          <w:rFonts w:ascii="Arial" w:eastAsia="Arial" w:hAnsi="Arial" w:cs="Arial"/>
          <w:bCs/>
        </w:rPr>
        <w:t xml:space="preserve">La </w:t>
      </w:r>
      <w:r w:rsidRPr="00F626A0">
        <w:rPr>
          <w:rFonts w:ascii="Arial" w:eastAsia="Arial" w:hAnsi="Arial" w:cs="Arial"/>
          <w:b/>
        </w:rPr>
        <w:t>nota de participación</w:t>
      </w:r>
      <w:r w:rsidRPr="00F24F15">
        <w:rPr>
          <w:rFonts w:ascii="Arial" w:eastAsia="Arial" w:hAnsi="Arial" w:cs="Arial"/>
          <w:bCs/>
        </w:rPr>
        <w:t xml:space="preserve"> en sesiones sincrónicas comprenderá la asistencia e intervenciones en clase. </w:t>
      </w:r>
    </w:p>
    <w:p w14:paraId="75377B4A" w14:textId="77777777" w:rsidR="00F24F15" w:rsidRDefault="00F24F15" w:rsidP="00F24F15">
      <w:pPr>
        <w:pStyle w:val="Prrafodelista"/>
        <w:ind w:left="1080"/>
        <w:jc w:val="both"/>
        <w:rPr>
          <w:rFonts w:ascii="Arial" w:eastAsia="Arial" w:hAnsi="Arial" w:cs="Arial"/>
          <w:bCs/>
        </w:rPr>
      </w:pPr>
    </w:p>
    <w:p w14:paraId="6EF709FC" w14:textId="4147760F" w:rsidR="00F24F15" w:rsidRDefault="00F24F15" w:rsidP="00F24F15">
      <w:pPr>
        <w:pStyle w:val="Prrafodelista"/>
        <w:numPr>
          <w:ilvl w:val="0"/>
          <w:numId w:val="10"/>
        </w:numPr>
        <w:jc w:val="both"/>
        <w:rPr>
          <w:rFonts w:ascii="Arial" w:eastAsia="Arial" w:hAnsi="Arial" w:cs="Arial"/>
          <w:bCs/>
        </w:rPr>
      </w:pPr>
      <w:r>
        <w:rPr>
          <w:rFonts w:ascii="Arial" w:eastAsia="Arial" w:hAnsi="Arial" w:cs="Arial"/>
          <w:bCs/>
        </w:rPr>
        <w:t xml:space="preserve">La </w:t>
      </w:r>
      <w:r w:rsidRPr="00F626A0">
        <w:rPr>
          <w:rFonts w:ascii="Arial" w:eastAsia="Arial" w:hAnsi="Arial" w:cs="Arial"/>
          <w:b/>
        </w:rPr>
        <w:t xml:space="preserve">nota de foro </w:t>
      </w:r>
      <w:r>
        <w:rPr>
          <w:rFonts w:ascii="Arial" w:eastAsia="Arial" w:hAnsi="Arial" w:cs="Arial"/>
          <w:bCs/>
        </w:rPr>
        <w:t>comprenderá una intervención para dar respuesta a por lo menos una de las preguntas planteadas por el profesor. La respuesta será evaluada en base a una rúbrica que se entregará oportunamente.</w:t>
      </w:r>
      <w:r w:rsidR="00F626A0">
        <w:rPr>
          <w:rFonts w:ascii="Arial" w:eastAsia="Arial" w:hAnsi="Arial" w:cs="Arial"/>
          <w:bCs/>
        </w:rPr>
        <w:t xml:space="preserve"> El alumno puede elegir responder una de las tres preguntas que se plantean en el foro.</w:t>
      </w:r>
    </w:p>
    <w:p w14:paraId="7343C911" w14:textId="77777777" w:rsidR="00F24F15" w:rsidRPr="00F24F15" w:rsidRDefault="00F24F15" w:rsidP="00F24F15">
      <w:pPr>
        <w:pStyle w:val="Prrafodelista"/>
        <w:rPr>
          <w:rFonts w:ascii="Arial" w:eastAsia="Arial" w:hAnsi="Arial" w:cs="Arial"/>
          <w:bCs/>
        </w:rPr>
      </w:pPr>
    </w:p>
    <w:p w14:paraId="49844B26" w14:textId="085F5C06" w:rsidR="00F24F15" w:rsidRDefault="00F24F15" w:rsidP="00F24F15">
      <w:pPr>
        <w:pStyle w:val="Prrafodelista"/>
        <w:numPr>
          <w:ilvl w:val="0"/>
          <w:numId w:val="10"/>
        </w:numPr>
        <w:jc w:val="both"/>
        <w:rPr>
          <w:rFonts w:ascii="Arial" w:eastAsia="Arial" w:hAnsi="Arial" w:cs="Arial"/>
          <w:bCs/>
        </w:rPr>
      </w:pPr>
      <w:r>
        <w:rPr>
          <w:rFonts w:ascii="Arial" w:eastAsia="Arial" w:hAnsi="Arial" w:cs="Arial"/>
          <w:bCs/>
        </w:rPr>
        <w:t xml:space="preserve">La </w:t>
      </w:r>
      <w:r w:rsidRPr="00F626A0">
        <w:rPr>
          <w:rFonts w:ascii="Arial" w:eastAsia="Arial" w:hAnsi="Arial" w:cs="Arial"/>
          <w:b/>
        </w:rPr>
        <w:t>nota de lectura</w:t>
      </w:r>
      <w:r>
        <w:rPr>
          <w:rFonts w:ascii="Arial" w:eastAsia="Arial" w:hAnsi="Arial" w:cs="Arial"/>
          <w:bCs/>
        </w:rPr>
        <w:t xml:space="preserve"> corresponde a una evaluación con preguntas objetivas sobre las lecturas asignadas por cada unidad temática.</w:t>
      </w:r>
      <w:r w:rsidR="00F626A0">
        <w:rPr>
          <w:rFonts w:ascii="Arial" w:eastAsia="Arial" w:hAnsi="Arial" w:cs="Arial"/>
          <w:bCs/>
        </w:rPr>
        <w:t xml:space="preserve"> En total son treinta preguntas correspondientes a las ocho lecturas asignadas.</w:t>
      </w:r>
    </w:p>
    <w:p w14:paraId="286592D9" w14:textId="77777777" w:rsidR="00F24F15" w:rsidRPr="00F24F15" w:rsidRDefault="00F24F15" w:rsidP="00F24F15">
      <w:pPr>
        <w:pStyle w:val="Prrafodelista"/>
        <w:rPr>
          <w:rFonts w:ascii="Arial" w:eastAsia="Arial" w:hAnsi="Arial" w:cs="Arial"/>
          <w:bCs/>
        </w:rPr>
      </w:pPr>
    </w:p>
    <w:p w14:paraId="1D357F69" w14:textId="6F70C9C9" w:rsidR="00F24F15" w:rsidRDefault="00F24F15" w:rsidP="00F24F15">
      <w:pPr>
        <w:pStyle w:val="Prrafodelista"/>
        <w:numPr>
          <w:ilvl w:val="0"/>
          <w:numId w:val="10"/>
        </w:numPr>
        <w:jc w:val="both"/>
        <w:rPr>
          <w:rFonts w:ascii="Arial" w:eastAsia="Arial" w:hAnsi="Arial" w:cs="Arial"/>
          <w:bCs/>
        </w:rPr>
      </w:pPr>
      <w:r>
        <w:rPr>
          <w:rFonts w:ascii="Arial" w:eastAsia="Arial" w:hAnsi="Arial" w:cs="Arial"/>
          <w:bCs/>
        </w:rPr>
        <w:t xml:space="preserve">La </w:t>
      </w:r>
      <w:r w:rsidRPr="00F626A0">
        <w:rPr>
          <w:rFonts w:ascii="Arial" w:eastAsia="Arial" w:hAnsi="Arial" w:cs="Arial"/>
          <w:b/>
        </w:rPr>
        <w:t>nota de desarrollo de caso</w:t>
      </w:r>
      <w:r>
        <w:rPr>
          <w:rFonts w:ascii="Arial" w:eastAsia="Arial" w:hAnsi="Arial" w:cs="Arial"/>
          <w:bCs/>
        </w:rPr>
        <w:t xml:space="preserve"> corresponde al promedio de cuatro evaluaciones con preguntas objetivas sobre los cuatro casos que serán asignados a lo largo del curso.</w:t>
      </w:r>
      <w:r w:rsidR="00F626A0">
        <w:rPr>
          <w:rFonts w:ascii="Arial" w:eastAsia="Arial" w:hAnsi="Arial" w:cs="Arial"/>
          <w:bCs/>
        </w:rPr>
        <w:t xml:space="preserve"> Para cada caso se plantearán cinco preguntas objetivas.</w:t>
      </w:r>
    </w:p>
    <w:p w14:paraId="00DB4C64" w14:textId="77777777" w:rsidR="00F24F15" w:rsidRPr="00F24F15" w:rsidRDefault="00F24F15" w:rsidP="00F24F15">
      <w:pPr>
        <w:pStyle w:val="Prrafodelista"/>
        <w:rPr>
          <w:rFonts w:ascii="Arial" w:eastAsia="Arial" w:hAnsi="Arial" w:cs="Arial"/>
          <w:bCs/>
        </w:rPr>
      </w:pPr>
    </w:p>
    <w:p w14:paraId="05CC1200" w14:textId="2582EA9C" w:rsidR="00F24F15" w:rsidRPr="00F24F15" w:rsidRDefault="00F24F15" w:rsidP="00F24F15">
      <w:pPr>
        <w:pStyle w:val="Prrafodelista"/>
        <w:numPr>
          <w:ilvl w:val="0"/>
          <w:numId w:val="10"/>
        </w:numPr>
        <w:jc w:val="both"/>
        <w:rPr>
          <w:rFonts w:ascii="Arial" w:eastAsia="Arial" w:hAnsi="Arial" w:cs="Arial"/>
          <w:bCs/>
        </w:rPr>
      </w:pPr>
      <w:r>
        <w:rPr>
          <w:rFonts w:ascii="Arial" w:eastAsia="Arial" w:hAnsi="Arial" w:cs="Arial"/>
          <w:bCs/>
        </w:rPr>
        <w:t xml:space="preserve">La </w:t>
      </w:r>
      <w:r w:rsidR="00F626A0" w:rsidRPr="00F626A0">
        <w:rPr>
          <w:rFonts w:ascii="Arial" w:eastAsia="Arial" w:hAnsi="Arial" w:cs="Arial"/>
          <w:b/>
        </w:rPr>
        <w:t xml:space="preserve">nota de </w:t>
      </w:r>
      <w:r w:rsidRPr="00F626A0">
        <w:rPr>
          <w:rFonts w:ascii="Arial" w:eastAsia="Arial" w:hAnsi="Arial" w:cs="Arial"/>
          <w:b/>
        </w:rPr>
        <w:t>evaluación final</w:t>
      </w:r>
      <w:r>
        <w:rPr>
          <w:rFonts w:ascii="Arial" w:eastAsia="Arial" w:hAnsi="Arial" w:cs="Arial"/>
          <w:bCs/>
        </w:rPr>
        <w:t xml:space="preserve"> es un examen con </w:t>
      </w:r>
      <w:r w:rsidR="00F626A0">
        <w:rPr>
          <w:rFonts w:ascii="Arial" w:eastAsia="Arial" w:hAnsi="Arial" w:cs="Arial"/>
          <w:bCs/>
        </w:rPr>
        <w:t>veinte</w:t>
      </w:r>
      <w:r>
        <w:rPr>
          <w:rFonts w:ascii="Arial" w:eastAsia="Arial" w:hAnsi="Arial" w:cs="Arial"/>
          <w:bCs/>
        </w:rPr>
        <w:t xml:space="preserve"> preguntas objetivas sobre los contenidos desarrollados en las sesiones sincrónicas.</w:t>
      </w:r>
    </w:p>
    <w:p w14:paraId="5BB1A163" w14:textId="77777777" w:rsidR="00F24F15" w:rsidRPr="00F24F15" w:rsidRDefault="00F24F15" w:rsidP="00F24F15">
      <w:pPr>
        <w:ind w:left="720"/>
        <w:jc w:val="both"/>
        <w:rPr>
          <w:rFonts w:ascii="Arial" w:eastAsia="Arial" w:hAnsi="Arial" w:cs="Arial"/>
          <w:bCs/>
        </w:rPr>
      </w:pPr>
    </w:p>
    <w:p w14:paraId="482D6168" w14:textId="77777777" w:rsidR="00F24F15" w:rsidRPr="0073600E" w:rsidRDefault="00F24F15" w:rsidP="0073600E">
      <w:pPr>
        <w:jc w:val="both"/>
        <w:rPr>
          <w:rFonts w:ascii="Arial" w:eastAsia="Arial" w:hAnsi="Arial" w:cs="Arial"/>
          <w:b/>
        </w:rPr>
      </w:pPr>
    </w:p>
    <w:p w14:paraId="7FA18778" w14:textId="77777777" w:rsidR="001D3B83" w:rsidRPr="0073600E" w:rsidRDefault="00000000" w:rsidP="0073600E">
      <w:pPr>
        <w:numPr>
          <w:ilvl w:val="0"/>
          <w:numId w:val="5"/>
        </w:numPr>
        <w:jc w:val="both"/>
        <w:rPr>
          <w:rFonts w:ascii="Arial" w:eastAsia="Arial" w:hAnsi="Arial" w:cs="Arial"/>
          <w:b/>
          <w:color w:val="002060"/>
        </w:rPr>
      </w:pPr>
      <w:r w:rsidRPr="0073600E">
        <w:rPr>
          <w:rFonts w:ascii="Arial" w:eastAsia="Arial" w:hAnsi="Arial" w:cs="Arial"/>
          <w:b/>
          <w:color w:val="002060"/>
        </w:rPr>
        <w:t>CERTIFICACIÓN</w:t>
      </w:r>
    </w:p>
    <w:p w14:paraId="72D6F928" w14:textId="77777777" w:rsidR="001D3B83" w:rsidRPr="0073600E" w:rsidRDefault="001D3B83" w:rsidP="0073600E">
      <w:pPr>
        <w:ind w:left="1080"/>
        <w:jc w:val="both"/>
        <w:rPr>
          <w:rFonts w:ascii="Arial" w:eastAsia="Arial" w:hAnsi="Arial" w:cs="Arial"/>
          <w:b/>
        </w:rPr>
      </w:pPr>
    </w:p>
    <w:p w14:paraId="3C216965" w14:textId="77777777" w:rsidR="001D3B83" w:rsidRPr="0073600E" w:rsidRDefault="00000000" w:rsidP="0073600E">
      <w:pPr>
        <w:ind w:left="720"/>
        <w:jc w:val="both"/>
        <w:rPr>
          <w:rFonts w:ascii="Arial" w:eastAsia="Arial" w:hAnsi="Arial" w:cs="Arial"/>
        </w:rPr>
      </w:pPr>
      <w:r w:rsidRPr="0073600E">
        <w:rPr>
          <w:rFonts w:ascii="Arial" w:eastAsia="Arial" w:hAnsi="Arial" w:cs="Arial"/>
        </w:rPr>
        <w:t>Según el artículo 39 del DL N° 1326, el Centro de Formación y Capacitación es la institución oficial de la Procuraduría General del Estado que tiene como finalidad desarrollar un sistema integral y continuo de perfeccionamiento, actualización y certificación de los/as procuradores/as públicos y abogados/as que ejercen la defensa jurídica del Estado.</w:t>
      </w:r>
    </w:p>
    <w:p w14:paraId="68D516E3" w14:textId="77777777" w:rsidR="001D3B83" w:rsidRPr="0073600E" w:rsidRDefault="001D3B83" w:rsidP="0073600E">
      <w:pPr>
        <w:ind w:left="720"/>
        <w:jc w:val="both"/>
        <w:rPr>
          <w:rFonts w:ascii="Arial" w:eastAsia="Arial" w:hAnsi="Arial" w:cs="Arial"/>
        </w:rPr>
      </w:pPr>
    </w:p>
    <w:p w14:paraId="51DC0271" w14:textId="77777777" w:rsidR="001D3B83" w:rsidRPr="0073600E" w:rsidRDefault="00000000" w:rsidP="0073600E">
      <w:pPr>
        <w:ind w:left="720"/>
        <w:jc w:val="both"/>
        <w:rPr>
          <w:rFonts w:ascii="Arial" w:eastAsia="Arial" w:hAnsi="Arial" w:cs="Arial"/>
        </w:rPr>
      </w:pPr>
      <w:r w:rsidRPr="0073600E">
        <w:rPr>
          <w:rFonts w:ascii="Arial" w:eastAsia="Arial" w:hAnsi="Arial" w:cs="Arial"/>
        </w:rPr>
        <w:t>Para efectos de certificación se tomarán en cuenta dos requisitos:</w:t>
      </w:r>
    </w:p>
    <w:p w14:paraId="00568C2F" w14:textId="77777777" w:rsidR="001D3B83" w:rsidRPr="0073600E" w:rsidRDefault="001D3B83" w:rsidP="0073600E">
      <w:pPr>
        <w:ind w:left="720"/>
        <w:jc w:val="both"/>
        <w:rPr>
          <w:rFonts w:ascii="Arial" w:eastAsia="Arial" w:hAnsi="Arial" w:cs="Arial"/>
        </w:rPr>
      </w:pPr>
    </w:p>
    <w:p w14:paraId="134CA677" w14:textId="77777777" w:rsidR="001D3B83" w:rsidRPr="0073600E" w:rsidRDefault="00000000" w:rsidP="0073600E">
      <w:pPr>
        <w:numPr>
          <w:ilvl w:val="0"/>
          <w:numId w:val="3"/>
        </w:numPr>
        <w:pBdr>
          <w:top w:val="nil"/>
          <w:left w:val="nil"/>
          <w:bottom w:val="nil"/>
          <w:right w:val="nil"/>
          <w:between w:val="nil"/>
        </w:pBdr>
        <w:ind w:left="1146" w:hanging="426"/>
        <w:jc w:val="both"/>
        <w:rPr>
          <w:rFonts w:ascii="Arial" w:eastAsia="Arial" w:hAnsi="Arial" w:cs="Arial"/>
          <w:color w:val="000000"/>
        </w:rPr>
      </w:pPr>
      <w:r w:rsidRPr="0073600E">
        <w:rPr>
          <w:rFonts w:ascii="Arial" w:eastAsia="Arial" w:hAnsi="Arial" w:cs="Arial"/>
          <w:color w:val="000000"/>
        </w:rPr>
        <w:t>Haber registrado su asistencia como mínimo a 2 de las 3 sesiones sincrónicas que conforman el curso, lo cual se verificará mediante los registros de asistencia correspondientes.</w:t>
      </w:r>
    </w:p>
    <w:p w14:paraId="7E9AF054" w14:textId="77777777" w:rsidR="001D3B83" w:rsidRPr="0073600E" w:rsidRDefault="001D3B83" w:rsidP="0073600E">
      <w:pPr>
        <w:pBdr>
          <w:top w:val="nil"/>
          <w:left w:val="nil"/>
          <w:bottom w:val="nil"/>
          <w:right w:val="nil"/>
          <w:between w:val="nil"/>
        </w:pBdr>
        <w:ind w:left="1146"/>
        <w:jc w:val="both"/>
        <w:rPr>
          <w:rFonts w:ascii="Arial" w:eastAsia="Arial" w:hAnsi="Arial" w:cs="Arial"/>
          <w:color w:val="000000"/>
        </w:rPr>
      </w:pPr>
    </w:p>
    <w:p w14:paraId="1902D191" w14:textId="77777777" w:rsidR="001D3B83" w:rsidRPr="0073600E" w:rsidRDefault="00000000" w:rsidP="0073600E">
      <w:pPr>
        <w:numPr>
          <w:ilvl w:val="0"/>
          <w:numId w:val="1"/>
        </w:numPr>
        <w:pBdr>
          <w:top w:val="nil"/>
          <w:left w:val="nil"/>
          <w:bottom w:val="nil"/>
          <w:right w:val="nil"/>
          <w:between w:val="nil"/>
        </w:pBdr>
        <w:ind w:left="1146" w:hanging="426"/>
        <w:jc w:val="both"/>
        <w:rPr>
          <w:rFonts w:ascii="Arial" w:eastAsia="Arial" w:hAnsi="Arial" w:cs="Arial"/>
          <w:color w:val="000000"/>
        </w:rPr>
      </w:pPr>
      <w:r w:rsidRPr="0073600E">
        <w:rPr>
          <w:rFonts w:ascii="Arial" w:eastAsia="Arial" w:hAnsi="Arial" w:cs="Arial"/>
          <w:color w:val="000000"/>
        </w:rPr>
        <w:t xml:space="preserve">Haber obtenido como </w:t>
      </w:r>
      <w:r w:rsidRPr="0073600E">
        <w:rPr>
          <w:rFonts w:ascii="Arial" w:eastAsia="Arial" w:hAnsi="Arial" w:cs="Arial"/>
          <w:color w:val="000000"/>
          <w:u w:val="single"/>
        </w:rPr>
        <w:t>promedio</w:t>
      </w:r>
      <w:r w:rsidRPr="0073600E">
        <w:rPr>
          <w:rFonts w:ascii="Arial" w:eastAsia="Arial" w:hAnsi="Arial" w:cs="Arial"/>
          <w:color w:val="000000"/>
        </w:rPr>
        <w:t xml:space="preserve"> de sus evaluaciones la calificación igual o mayor a </w:t>
      </w:r>
      <w:r w:rsidRPr="0073600E">
        <w:rPr>
          <w:rFonts w:ascii="Arial" w:eastAsia="Arial" w:hAnsi="Arial" w:cs="Arial"/>
          <w:b/>
          <w:color w:val="000000"/>
        </w:rPr>
        <w:t>doce (12)</w:t>
      </w:r>
      <w:r w:rsidRPr="0073600E">
        <w:rPr>
          <w:rFonts w:ascii="Arial" w:eastAsia="Arial" w:hAnsi="Arial" w:cs="Arial"/>
          <w:color w:val="000000"/>
        </w:rPr>
        <w:t xml:space="preserve"> en la escala vigesimal, lo cual se verificará </w:t>
      </w:r>
      <w:r w:rsidRPr="0073600E">
        <w:rPr>
          <w:rFonts w:ascii="Arial" w:eastAsia="Arial" w:hAnsi="Arial" w:cs="Arial"/>
          <w:color w:val="000000"/>
        </w:rPr>
        <w:lastRenderedPageBreak/>
        <w:t xml:space="preserve">mediante las calificaciones obtenidas en los formularios correspondientes. </w:t>
      </w:r>
    </w:p>
    <w:p w14:paraId="1C2E67E4" w14:textId="77777777" w:rsidR="001D3B83" w:rsidRPr="0073600E" w:rsidRDefault="001D3B83" w:rsidP="0073600E">
      <w:pPr>
        <w:ind w:left="720"/>
        <w:jc w:val="both"/>
        <w:rPr>
          <w:rFonts w:ascii="Arial" w:eastAsia="Arial" w:hAnsi="Arial" w:cs="Arial"/>
        </w:rPr>
      </w:pPr>
    </w:p>
    <w:p w14:paraId="3B5462DB" w14:textId="77777777" w:rsidR="001D3B83" w:rsidRPr="0073600E" w:rsidRDefault="00000000" w:rsidP="0073600E">
      <w:pPr>
        <w:ind w:left="720"/>
        <w:jc w:val="both"/>
        <w:rPr>
          <w:rFonts w:ascii="Arial" w:eastAsia="Arial" w:hAnsi="Arial" w:cs="Arial"/>
          <w:b/>
        </w:rPr>
      </w:pPr>
      <w:r w:rsidRPr="0073600E">
        <w:rPr>
          <w:rFonts w:ascii="Arial" w:eastAsia="Arial" w:hAnsi="Arial" w:cs="Arial"/>
        </w:rPr>
        <w:t xml:space="preserve">La certificación será a nombre del Centro de Formación y Capacitación de la Procuraduría General del Estado, especificando las 25 (veinticinco) horas académicas correspondientes al presente curso.  </w:t>
      </w:r>
    </w:p>
    <w:p w14:paraId="2F613AE9" w14:textId="77777777" w:rsidR="001D3B83" w:rsidRPr="0073600E" w:rsidRDefault="001D3B83" w:rsidP="0073600E">
      <w:pPr>
        <w:ind w:left="1080"/>
        <w:jc w:val="both"/>
        <w:rPr>
          <w:rFonts w:ascii="Arial" w:eastAsia="Arial" w:hAnsi="Arial" w:cs="Arial"/>
          <w:b/>
        </w:rPr>
      </w:pPr>
    </w:p>
    <w:p w14:paraId="401DBDD5" w14:textId="77777777" w:rsidR="001D3B83" w:rsidRPr="0073600E" w:rsidRDefault="001D3B83" w:rsidP="0073600E">
      <w:pPr>
        <w:jc w:val="both"/>
        <w:rPr>
          <w:rFonts w:ascii="Arial" w:eastAsia="Arial" w:hAnsi="Arial" w:cs="Arial"/>
        </w:rPr>
      </w:pPr>
    </w:p>
    <w:p w14:paraId="50086F44" w14:textId="1CBCDF1E" w:rsidR="001D3B83" w:rsidRPr="0073600E" w:rsidRDefault="00000000" w:rsidP="0073600E">
      <w:pPr>
        <w:numPr>
          <w:ilvl w:val="0"/>
          <w:numId w:val="5"/>
        </w:numPr>
        <w:jc w:val="both"/>
        <w:rPr>
          <w:rFonts w:ascii="Arial" w:eastAsia="Arial" w:hAnsi="Arial" w:cs="Arial"/>
          <w:b/>
        </w:rPr>
      </w:pPr>
      <w:r w:rsidRPr="0073600E">
        <w:rPr>
          <w:rFonts w:ascii="Arial" w:eastAsia="Arial" w:hAnsi="Arial" w:cs="Arial"/>
          <w:b/>
        </w:rPr>
        <w:t>BIBLIOGRAFÍA</w:t>
      </w:r>
      <w:r w:rsidR="00F24F15">
        <w:rPr>
          <w:rFonts w:ascii="Arial" w:eastAsia="Arial" w:hAnsi="Arial" w:cs="Arial"/>
          <w:b/>
        </w:rPr>
        <w:t xml:space="preserve"> BÁSICA</w:t>
      </w:r>
      <w:r w:rsidRPr="0073600E">
        <w:rPr>
          <w:rFonts w:ascii="Arial" w:eastAsia="Arial" w:hAnsi="Arial" w:cs="Arial"/>
          <w:b/>
        </w:rPr>
        <w:t xml:space="preserve"> </w:t>
      </w:r>
    </w:p>
    <w:p w14:paraId="6EA16A34" w14:textId="77777777" w:rsidR="001D3B83" w:rsidRPr="0073600E" w:rsidRDefault="001D3B83" w:rsidP="0073600E">
      <w:pPr>
        <w:jc w:val="both"/>
        <w:rPr>
          <w:rFonts w:ascii="Arial" w:eastAsia="Arial" w:hAnsi="Arial" w:cs="Arial"/>
          <w:b/>
          <w:highlight w:val="yellow"/>
        </w:rPr>
      </w:pPr>
    </w:p>
    <w:p w14:paraId="41743950" w14:textId="77777777" w:rsidR="001D3B83" w:rsidRPr="0073600E" w:rsidRDefault="00000000" w:rsidP="0073600E">
      <w:pPr>
        <w:ind w:left="1440" w:hanging="720"/>
        <w:jc w:val="both"/>
        <w:rPr>
          <w:rFonts w:ascii="Arial" w:eastAsia="Arial" w:hAnsi="Arial" w:cs="Arial"/>
          <w:b/>
          <w:color w:val="000000"/>
        </w:rPr>
      </w:pPr>
      <w:r w:rsidRPr="0073600E">
        <w:rPr>
          <w:rFonts w:ascii="Arial" w:eastAsia="Arial" w:hAnsi="Arial" w:cs="Arial"/>
          <w:color w:val="000000"/>
        </w:rPr>
        <w:t xml:space="preserve">García, P. (2008). </w:t>
      </w:r>
      <w:r w:rsidRPr="0073600E">
        <w:rPr>
          <w:rFonts w:ascii="Arial" w:eastAsia="Arial" w:hAnsi="Arial" w:cs="Arial"/>
          <w:i/>
          <w:color w:val="000000"/>
        </w:rPr>
        <w:t>El delito de Colusión</w:t>
      </w:r>
      <w:r w:rsidRPr="0073600E">
        <w:rPr>
          <w:rFonts w:ascii="Arial" w:eastAsia="Arial" w:hAnsi="Arial" w:cs="Arial"/>
          <w:color w:val="000000"/>
        </w:rPr>
        <w:t>, Grijley, 17-58.</w:t>
      </w:r>
    </w:p>
    <w:p w14:paraId="22C7859C" w14:textId="77777777" w:rsidR="001D3B83" w:rsidRPr="0073600E" w:rsidRDefault="00000000" w:rsidP="0073600E">
      <w:pPr>
        <w:ind w:left="1440" w:hanging="720"/>
        <w:jc w:val="both"/>
        <w:rPr>
          <w:rFonts w:ascii="Arial" w:eastAsia="Arial" w:hAnsi="Arial" w:cs="Arial"/>
          <w:b/>
          <w:color w:val="000000"/>
        </w:rPr>
      </w:pPr>
      <w:r w:rsidRPr="0073600E">
        <w:rPr>
          <w:rFonts w:ascii="Arial" w:eastAsia="Arial" w:hAnsi="Arial" w:cs="Arial"/>
          <w:color w:val="000000"/>
        </w:rPr>
        <w:t xml:space="preserve">García, P. (2016). Las políticas anticorrupción en la empresa. </w:t>
      </w:r>
      <w:r w:rsidRPr="0073600E">
        <w:rPr>
          <w:rFonts w:ascii="Arial" w:eastAsia="Arial" w:hAnsi="Arial" w:cs="Arial"/>
          <w:i/>
          <w:color w:val="000000"/>
        </w:rPr>
        <w:t>Revista de Derecho de la Pontificia Universidad Católica de Valparaíso</w:t>
      </w:r>
      <w:r w:rsidRPr="0073600E">
        <w:rPr>
          <w:rFonts w:ascii="Arial" w:eastAsia="Arial" w:hAnsi="Arial" w:cs="Arial"/>
          <w:color w:val="000000"/>
        </w:rPr>
        <w:t>, 47, 219-244.</w:t>
      </w:r>
    </w:p>
    <w:p w14:paraId="5B5D7974" w14:textId="77777777" w:rsidR="001D3B83" w:rsidRPr="0073600E" w:rsidRDefault="00000000" w:rsidP="0073600E">
      <w:pPr>
        <w:ind w:left="1440" w:hanging="720"/>
        <w:jc w:val="both"/>
        <w:rPr>
          <w:rFonts w:ascii="Arial" w:eastAsia="Arial" w:hAnsi="Arial" w:cs="Arial"/>
          <w:color w:val="000000"/>
        </w:rPr>
      </w:pPr>
      <w:r w:rsidRPr="0073600E">
        <w:rPr>
          <w:rFonts w:ascii="Arial" w:eastAsia="Arial" w:hAnsi="Arial" w:cs="Arial"/>
          <w:color w:val="000000"/>
        </w:rPr>
        <w:t xml:space="preserve">Nieto, M. (2013). La privatización de la lucha contra la corrupción. </w:t>
      </w:r>
      <w:r w:rsidRPr="0073600E">
        <w:rPr>
          <w:rFonts w:ascii="Arial" w:eastAsia="Arial" w:hAnsi="Arial" w:cs="Arial"/>
          <w:i/>
          <w:color w:val="000000"/>
        </w:rPr>
        <w:t>Revista penal México</w:t>
      </w:r>
      <w:r w:rsidRPr="0073600E">
        <w:rPr>
          <w:rFonts w:ascii="Arial" w:eastAsia="Arial" w:hAnsi="Arial" w:cs="Arial"/>
          <w:color w:val="000000"/>
        </w:rPr>
        <w:t>, 4, 133-143.</w:t>
      </w:r>
    </w:p>
    <w:p w14:paraId="2C09316E" w14:textId="77777777" w:rsidR="001D3B83" w:rsidRDefault="001D3B83">
      <w:pPr>
        <w:jc w:val="both"/>
        <w:rPr>
          <w:rFonts w:ascii="Arial" w:eastAsia="Arial" w:hAnsi="Arial" w:cs="Arial"/>
          <w:b/>
          <w:highlight w:val="yellow"/>
        </w:rPr>
      </w:pPr>
    </w:p>
    <w:p w14:paraId="77BA1E14" w14:textId="77777777" w:rsidR="001D3B83" w:rsidRDefault="001D3B83">
      <w:pPr>
        <w:jc w:val="both"/>
        <w:rPr>
          <w:rFonts w:ascii="Arial" w:eastAsia="Arial" w:hAnsi="Arial" w:cs="Arial"/>
          <w:b/>
          <w:highlight w:val="yellow"/>
        </w:rPr>
      </w:pPr>
    </w:p>
    <w:p w14:paraId="174A29CC" w14:textId="77777777" w:rsidR="001D3B83" w:rsidRDefault="001D3B83">
      <w:pPr>
        <w:jc w:val="both"/>
        <w:rPr>
          <w:rFonts w:ascii="Arial" w:eastAsia="Arial" w:hAnsi="Arial" w:cs="Arial"/>
        </w:rPr>
      </w:pPr>
    </w:p>
    <w:sectPr w:rsidR="001D3B83">
      <w:headerReference w:type="default" r:id="rId8"/>
      <w:footerReference w:type="default" r:id="rId9"/>
      <w:pgSz w:w="11906" w:h="16838"/>
      <w:pgMar w:top="567" w:right="1701" w:bottom="1418"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39217" w14:textId="77777777" w:rsidR="00B17894" w:rsidRDefault="00B17894">
      <w:r>
        <w:separator/>
      </w:r>
    </w:p>
  </w:endnote>
  <w:endnote w:type="continuationSeparator" w:id="0">
    <w:p w14:paraId="15B46120" w14:textId="77777777" w:rsidR="00B17894" w:rsidRDefault="00B1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1431" w14:textId="77777777" w:rsidR="001D3B83" w:rsidRDefault="00000000">
    <w:pPr>
      <w:pBdr>
        <w:top w:val="nil"/>
        <w:left w:val="nil"/>
        <w:bottom w:val="nil"/>
        <w:right w:val="nil"/>
        <w:between w:val="nil"/>
      </w:pBdr>
      <w:tabs>
        <w:tab w:val="center" w:pos="4252"/>
        <w:tab w:val="right" w:pos="8504"/>
      </w:tabs>
      <w:rPr>
        <w:rFonts w:ascii="Calibri" w:eastAsia="Calibri" w:hAnsi="Calibri" w:cs="Calibri"/>
        <w:i/>
        <w:color w:val="C00000"/>
        <w:sz w:val="20"/>
        <w:szCs w:val="20"/>
      </w:rPr>
    </w:pPr>
    <w:r>
      <w:rPr>
        <w:rFonts w:ascii="Calibri" w:eastAsia="Calibri" w:hAnsi="Calibri" w:cs="Calibri"/>
        <w:i/>
        <w:color w:val="C00000"/>
        <w:sz w:val="20"/>
        <w:szCs w:val="20"/>
      </w:rPr>
      <w:t>Proyecto Fortalecimiento del MINJUSDH</w:t>
    </w:r>
    <w:r>
      <w:rPr>
        <w:noProof/>
      </w:rPr>
      <mc:AlternateContent>
        <mc:Choice Requires="wps">
          <w:drawing>
            <wp:anchor distT="0" distB="0" distL="114300" distR="114300" simplePos="0" relativeHeight="251658240" behindDoc="0" locked="0" layoutInCell="1" hidden="0" allowOverlap="1" wp14:anchorId="4D9C3E2B" wp14:editId="7E09C4DE">
              <wp:simplePos x="0" y="0"/>
              <wp:positionH relativeFrom="column">
                <wp:posOffset>5016500</wp:posOffset>
              </wp:positionH>
              <wp:positionV relativeFrom="paragraph">
                <wp:posOffset>76200</wp:posOffset>
              </wp:positionV>
              <wp:extent cx="384175" cy="365125"/>
              <wp:effectExtent l="0" t="0" r="0" b="0"/>
              <wp:wrapNone/>
              <wp:docPr id="10" name="Elipse 10"/>
              <wp:cNvGraphicFramePr/>
              <a:graphic xmlns:a="http://schemas.openxmlformats.org/drawingml/2006/main">
                <a:graphicData uri="http://schemas.microsoft.com/office/word/2010/wordprocessingShape">
                  <wps:wsp>
                    <wps:cNvSpPr/>
                    <wps:spPr>
                      <a:xfrm rot="10800000" flipH="1">
                        <a:off x="5160263" y="3603788"/>
                        <a:ext cx="371475" cy="352425"/>
                      </a:xfrm>
                      <a:prstGeom prst="ellipse">
                        <a:avLst/>
                      </a:prstGeom>
                      <a:noFill/>
                      <a:ln w="12700" cap="flat" cmpd="sng">
                        <a:solidFill>
                          <a:srgbClr val="C00000"/>
                        </a:solidFill>
                        <a:prstDash val="solid"/>
                        <a:round/>
                        <a:headEnd type="none" w="sm" len="sm"/>
                        <a:tailEnd type="none" w="sm" len="sm"/>
                      </a:ln>
                    </wps:spPr>
                    <wps:txbx>
                      <w:txbxContent>
                        <w:p w14:paraId="57D28344" w14:textId="77777777" w:rsidR="001D3B83" w:rsidRDefault="00000000">
                          <w:pPr>
                            <w:jc w:val="center"/>
                            <w:textDirection w:val="btLr"/>
                          </w:pPr>
                          <w:r>
                            <w:rPr>
                              <w:rFonts w:ascii="Calibri" w:eastAsia="Calibri" w:hAnsi="Calibri" w:cs="Calibri"/>
                              <w:color w:val="000000"/>
                              <w:sz w:val="22"/>
                            </w:rPr>
                            <w:t>PAGE  \* MERGEFORMAT</w:t>
                          </w:r>
                          <w:r>
                            <w:rPr>
                              <w:rFonts w:ascii="Calibri" w:eastAsia="Calibri" w:hAnsi="Calibri" w:cs="Calibri"/>
                              <w:color w:val="4F81BD"/>
                              <w:sz w:val="22"/>
                            </w:rPr>
                            <w:t>2</w:t>
                          </w:r>
                        </w:p>
                      </w:txbxContent>
                    </wps:txbx>
                    <wps:bodyPr spcFirstLastPara="1" wrap="square" lIns="91425" tIns="0" rIns="91425" bIns="0" anchor="ctr" anchorCtr="0">
                      <a:noAutofit/>
                    </wps:bodyPr>
                  </wps:wsp>
                </a:graphicData>
              </a:graphic>
            </wp:anchor>
          </w:drawing>
        </mc:Choice>
        <mc:Fallback>
          <w:pict>
            <v:oval w14:anchorId="4D9C3E2B" id="Elipse 10" o:spid="_x0000_s1026" style="position:absolute;margin-left:395pt;margin-top:6pt;width:30.25pt;height:28.7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3kIgIAACsEAAAOAAAAZHJzL2Uyb0RvYy54bWysU9uO0zAQfUfiHyy/01y6vRA1XaGWAtJq&#10;qbTwAa5jN5Yc23jcJv17xk53u8ADEiIP1sx4MnPm+Mzqfug0OQsPypqaFpOcEmG4bZQ51vT7t927&#10;JSUQmGmYtkbU9CKA3q/fvln1rhKlba1uhCdYxEDVu5q2Ibgqy4C3omMwsU4YvJTWdyyg649Z41mP&#10;1TudlXk+z3rrG+ctFwAY3Y6XdJ3qSyl4+ColiEB0TRFbSKdP5yGe2XrFqqNnrlX8CoP9A4qOKYNN&#10;X0ptWWDk5NUfpTrFvQUrw4TbLrNSKi7SDDhNkf82zVPLnEizIDngXmiC/1eWP56f3N4jDb2DCtCM&#10;UwzSd8RbZKvIl3n8KJFauc8YSGMicDLUdFbM83I+peRS0+k8ny6Wy5FRMQTCMWG6KO4WM0p4TJiV&#10;d+Us3mdjh9jJeQifhO1INGoqNHaBODOr2PkBwpj9nBXDxu6U1undtCE9IioXER9nKB+pWUCzc01N&#10;wRxTHbBaNfGf+Df442GjPTkzFMRmHG3s8UtabLhl0I556WoczNuTaVLzVrDmo2lIuDjUtUF104gG&#10;Okq0wF1AI+UFpvTf85ASbZCZ2ytEKwyHAYtE82Cby94TcHynENwDg7BnHrVaYFvULzb8cWIeQegv&#10;BgXyvohkk5AcpMe/jh6eo8zw1uI68OApGZ1NSOsxUv3hFKxU6RVuIK4wUZHpKa/bEyX/2k9Ztx1f&#10;/wQAAP//AwBQSwMEFAAGAAgAAAAhAIfQvs/kAAAADgEAAA8AAABkcnMvZG93bnJldi54bWxMj0FP&#10;wzAMhe9I/IfISNxYQqHb2jWdEBMgTQiJDYmr25q2rEmqJusKvx5zgost69nP78vWk+nESINvndVw&#10;PVMgyJauam2t4W3/cLUE4QPaCjtnScMXeVjn52cZppU72Vcad6EWbGJ9ihqaEPpUSl82ZNDPXE+W&#10;tQ83GAw8DrWsBjyxuelkpNRcGmwtf2iwp/uGysPuaDQkn248RBuMX963t9gW3zfPj9OT1pcX02bF&#10;5W4FItAU/i7gl4HzQ87BCne0lRedhkWiGCiwEHHnhWWsYhCFhnkSg8wz+R8j/wEAAP//AwBQSwEC&#10;LQAUAAYACAAAACEAtoM4kv4AAADhAQAAEwAAAAAAAAAAAAAAAAAAAAAAW0NvbnRlbnRfVHlwZXNd&#10;LnhtbFBLAQItABQABgAIAAAAIQA4/SH/1gAAAJQBAAALAAAAAAAAAAAAAAAAAC8BAABfcmVscy8u&#10;cmVsc1BLAQItABQABgAIAAAAIQDOqF3kIgIAACsEAAAOAAAAAAAAAAAAAAAAAC4CAABkcnMvZTJv&#10;RG9jLnhtbFBLAQItABQABgAIAAAAIQCH0L7P5AAAAA4BAAAPAAAAAAAAAAAAAAAAAHwEAABkcnMv&#10;ZG93bnJldi54bWxQSwUGAAAAAAQABADzAAAAjQUAAAAA&#10;" filled="f" strokecolor="#c00000" strokeweight="1pt">
              <v:stroke startarrowwidth="narrow" startarrowlength="short" endarrowwidth="narrow" endarrowlength="short"/>
              <v:textbox inset="2.53958mm,0,2.53958mm,0">
                <w:txbxContent>
                  <w:p w14:paraId="57D28344" w14:textId="77777777" w:rsidR="001D3B83" w:rsidRDefault="00000000">
                    <w:pPr>
                      <w:jc w:val="center"/>
                      <w:textDirection w:val="btLr"/>
                    </w:pPr>
                    <w:r>
                      <w:rPr>
                        <w:rFonts w:ascii="Calibri" w:eastAsia="Calibri" w:hAnsi="Calibri" w:cs="Calibri"/>
                        <w:color w:val="000000"/>
                        <w:sz w:val="22"/>
                      </w:rPr>
                      <w:t>PAGE  \* MERGEFORMAT</w:t>
                    </w:r>
                    <w:r>
                      <w:rPr>
                        <w:rFonts w:ascii="Calibri" w:eastAsia="Calibri" w:hAnsi="Calibri" w:cs="Calibri"/>
                        <w:color w:val="4F81BD"/>
                        <w:sz w:val="22"/>
                      </w:rPr>
                      <w:t>2</w:t>
                    </w:r>
                  </w:p>
                </w:txbxContent>
              </v:textbox>
            </v:oval>
          </w:pict>
        </mc:Fallback>
      </mc:AlternateContent>
    </w:r>
  </w:p>
  <w:p w14:paraId="355E5EDD" w14:textId="77777777" w:rsidR="001D3B83" w:rsidRDefault="00000000">
    <w:pPr>
      <w:pBdr>
        <w:top w:val="nil"/>
        <w:left w:val="nil"/>
        <w:bottom w:val="nil"/>
        <w:right w:val="nil"/>
        <w:between w:val="nil"/>
      </w:pBdr>
      <w:tabs>
        <w:tab w:val="center" w:pos="4252"/>
        <w:tab w:val="right" w:pos="8504"/>
      </w:tabs>
      <w:rPr>
        <w:rFonts w:ascii="Calibri" w:eastAsia="Calibri" w:hAnsi="Calibri" w:cs="Calibri"/>
        <w:i/>
        <w:color w:val="C00000"/>
        <w:sz w:val="20"/>
        <w:szCs w:val="20"/>
      </w:rPr>
    </w:pPr>
    <w:r>
      <w:rPr>
        <w:rFonts w:ascii="Calibri" w:eastAsia="Calibri" w:hAnsi="Calibri" w:cs="Calibri"/>
        <w:i/>
        <w:color w:val="C00000"/>
        <w:sz w:val="20"/>
        <w:szCs w:val="20"/>
      </w:rPr>
      <w:t xml:space="preserve"> en la lucha contra la corrupción y el crimen organizado - PRODOC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10DB" w14:textId="77777777" w:rsidR="00B17894" w:rsidRDefault="00B17894">
      <w:r>
        <w:separator/>
      </w:r>
    </w:p>
  </w:footnote>
  <w:footnote w:type="continuationSeparator" w:id="0">
    <w:p w14:paraId="5C84F425" w14:textId="77777777" w:rsidR="00B17894" w:rsidRDefault="00B1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4B78" w14:textId="77777777" w:rsidR="001D3B83"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bookmarkStart w:id="0" w:name="_heading=h.gjdgxs" w:colFirst="0" w:colLast="0"/>
    <w:bookmarkEnd w:id="0"/>
    <w:r>
      <w:rPr>
        <w:rFonts w:ascii="Arial" w:eastAsia="Arial" w:hAnsi="Arial" w:cs="Arial"/>
        <w:b/>
        <w:noProof/>
        <w:color w:val="000000"/>
        <w:sz w:val="16"/>
        <w:szCs w:val="16"/>
      </w:rPr>
      <w:drawing>
        <wp:inline distT="0" distB="0" distL="0" distR="0" wp14:anchorId="687A6A29" wp14:editId="3B47A3CD">
          <wp:extent cx="1314385" cy="73751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41859" b="7282"/>
                  <a:stretch>
                    <a:fillRect/>
                  </a:stretch>
                </pic:blipFill>
                <pic:spPr>
                  <a:xfrm>
                    <a:off x="0" y="0"/>
                    <a:ext cx="1314385" cy="737516"/>
                  </a:xfrm>
                  <a:prstGeom prst="rect">
                    <a:avLst/>
                  </a:prstGeom>
                  <a:ln/>
                </pic:spPr>
              </pic:pic>
            </a:graphicData>
          </a:graphic>
        </wp:inline>
      </w:drawing>
    </w:r>
    <w:r>
      <w:rPr>
        <w:rFonts w:ascii="Calibri" w:eastAsia="Calibri" w:hAnsi="Calibri" w:cs="Calibri"/>
        <w:color w:val="000000"/>
        <w:sz w:val="22"/>
        <w:szCs w:val="22"/>
      </w:rPr>
      <w:t xml:space="preserve">                                                                                       </w:t>
    </w:r>
    <w:r>
      <w:rPr>
        <w:rFonts w:ascii="Arial" w:eastAsia="Arial" w:hAnsi="Arial" w:cs="Arial"/>
        <w:b/>
        <w:noProof/>
        <w:color w:val="000000"/>
        <w:sz w:val="16"/>
        <w:szCs w:val="16"/>
      </w:rPr>
      <w:drawing>
        <wp:inline distT="0" distB="0" distL="0" distR="0" wp14:anchorId="4663C172" wp14:editId="7C01014F">
          <wp:extent cx="1104900" cy="7620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59431" t="10098" r="3100" b="16461"/>
                  <a:stretch>
                    <a:fillRect/>
                  </a:stretch>
                </pic:blipFill>
                <pic:spPr>
                  <a:xfrm>
                    <a:off x="0" y="0"/>
                    <a:ext cx="1104900" cy="76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6D5E"/>
    <w:multiLevelType w:val="multilevel"/>
    <w:tmpl w:val="F6140758"/>
    <w:lvl w:ilvl="0">
      <w:start w:val="1"/>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AF01705"/>
    <w:multiLevelType w:val="multilevel"/>
    <w:tmpl w:val="BEA428D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76030D"/>
    <w:multiLevelType w:val="multilevel"/>
    <w:tmpl w:val="74F8EA62"/>
    <w:lvl w:ilvl="0">
      <w:start w:val="3"/>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3C7B753A"/>
    <w:multiLevelType w:val="multilevel"/>
    <w:tmpl w:val="E2BC0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A13410"/>
    <w:multiLevelType w:val="hybridMultilevel"/>
    <w:tmpl w:val="81EA8FB6"/>
    <w:lvl w:ilvl="0" w:tplc="41663E62">
      <w:start w:val="20"/>
      <w:numFmt w:val="bullet"/>
      <w:lvlText w:val="-"/>
      <w:lvlJc w:val="left"/>
      <w:pPr>
        <w:ind w:left="1080"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C8815B7"/>
    <w:multiLevelType w:val="multilevel"/>
    <w:tmpl w:val="A5BEDF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1C33554"/>
    <w:multiLevelType w:val="multilevel"/>
    <w:tmpl w:val="41AA8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A318F4"/>
    <w:multiLevelType w:val="multilevel"/>
    <w:tmpl w:val="156655AE"/>
    <w:lvl w:ilvl="0">
      <w:start w:val="1"/>
      <w:numFmt w:val="upperRoman"/>
      <w:lvlText w:val="%1."/>
      <w:lvlJc w:val="left"/>
      <w:pPr>
        <w:ind w:left="720" w:hanging="720"/>
      </w:pPr>
      <w:rPr>
        <w:color w:val="C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ED77F28"/>
    <w:multiLevelType w:val="multilevel"/>
    <w:tmpl w:val="E340B2FA"/>
    <w:lvl w:ilvl="0">
      <w:start w:val="1"/>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3B40116"/>
    <w:multiLevelType w:val="multilevel"/>
    <w:tmpl w:val="A9CA2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4652084">
    <w:abstractNumId w:val="9"/>
  </w:num>
  <w:num w:numId="2" w16cid:durableId="1744371997">
    <w:abstractNumId w:val="5"/>
  </w:num>
  <w:num w:numId="3" w16cid:durableId="1943102495">
    <w:abstractNumId w:val="3"/>
  </w:num>
  <w:num w:numId="4" w16cid:durableId="2118869443">
    <w:abstractNumId w:val="6"/>
  </w:num>
  <w:num w:numId="5" w16cid:durableId="1382556721">
    <w:abstractNumId w:val="7"/>
  </w:num>
  <w:num w:numId="6" w16cid:durableId="122386519">
    <w:abstractNumId w:val="0"/>
  </w:num>
  <w:num w:numId="7" w16cid:durableId="1587689111">
    <w:abstractNumId w:val="8"/>
  </w:num>
  <w:num w:numId="8" w16cid:durableId="863712113">
    <w:abstractNumId w:val="1"/>
  </w:num>
  <w:num w:numId="9" w16cid:durableId="830439406">
    <w:abstractNumId w:val="2"/>
  </w:num>
  <w:num w:numId="10" w16cid:durableId="1173565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83"/>
    <w:rsid w:val="001D3B83"/>
    <w:rsid w:val="002C0888"/>
    <w:rsid w:val="003F7C2C"/>
    <w:rsid w:val="00474569"/>
    <w:rsid w:val="006862BB"/>
    <w:rsid w:val="00733A12"/>
    <w:rsid w:val="0073600E"/>
    <w:rsid w:val="009320B1"/>
    <w:rsid w:val="00AA57DA"/>
    <w:rsid w:val="00B17894"/>
    <w:rsid w:val="00BA55C0"/>
    <w:rsid w:val="00F24F15"/>
    <w:rsid w:val="00F440E3"/>
    <w:rsid w:val="00F626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3F73"/>
  <w15:docId w15:val="{DC302207-546D-F34F-B846-0E354276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2E"/>
    <w:rPr>
      <w:lang w:eastAsia="es-ES_tradnl"/>
    </w:rPr>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eastAsia="es-ES"/>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eastAsia="es-ES"/>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eastAsia="es-ES"/>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85" w:type="dxa"/>
        <w:left w:w="85" w:type="dxa"/>
        <w:bottom w:w="85" w:type="dxa"/>
        <w:right w:w="85" w:type="dxa"/>
      </w:tblCellMar>
    </w:tblPr>
  </w:style>
  <w:style w:type="paragraph" w:styleId="Prrafodelista">
    <w:name w:val="List Paragraph"/>
    <w:aliases w:val="Cuadro 2-1,Footnote,List Paragraph1,Fundamentacion"/>
    <w:basedOn w:val="Normal"/>
    <w:link w:val="PrrafodelistaCar"/>
    <w:uiPriority w:val="34"/>
    <w:qFormat/>
    <w:rsid w:val="006B406A"/>
    <w:pPr>
      <w:spacing w:after="160" w:line="259" w:lineRule="auto"/>
      <w:ind w:left="720"/>
      <w:contextualSpacing/>
    </w:pPr>
    <w:rPr>
      <w:rFonts w:ascii="Calibri" w:eastAsia="Calibri" w:hAnsi="Calibri" w:cs="Calibri"/>
      <w:sz w:val="22"/>
      <w:szCs w:val="22"/>
      <w:lang w:eastAsia="es-ES"/>
    </w:rPr>
  </w:style>
  <w:style w:type="table" w:styleId="Tablaconcuadrcula">
    <w:name w:val="Table Grid"/>
    <w:basedOn w:val="Tablanormal"/>
    <w:uiPriority w:val="39"/>
    <w:rsid w:val="00C8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475B52"/>
    <w:pPr>
      <w:spacing w:before="100" w:beforeAutospacing="1" w:after="100" w:afterAutospacing="1"/>
    </w:pPr>
    <w:rPr>
      <w:lang w:val="es-MX" w:eastAsia="es-MX"/>
    </w:rPr>
  </w:style>
  <w:style w:type="paragraph" w:styleId="NormalWeb">
    <w:name w:val="Normal (Web)"/>
    <w:basedOn w:val="Normal"/>
    <w:uiPriority w:val="99"/>
    <w:unhideWhenUsed/>
    <w:rsid w:val="00D649DD"/>
    <w:pPr>
      <w:spacing w:before="100" w:beforeAutospacing="1" w:after="100" w:afterAutospacing="1"/>
    </w:pPr>
    <w:rPr>
      <w:lang w:eastAsia="es-PE"/>
    </w:rPr>
  </w:style>
  <w:style w:type="character" w:styleId="Hipervnculo">
    <w:name w:val="Hyperlink"/>
    <w:basedOn w:val="Fuentedeprrafopredeter"/>
    <w:uiPriority w:val="99"/>
    <w:unhideWhenUsed/>
    <w:rsid w:val="00D649DD"/>
    <w:rPr>
      <w:color w:val="0000FF"/>
      <w:u w:val="single"/>
    </w:rPr>
  </w:style>
  <w:style w:type="paragraph" w:styleId="Encabezado">
    <w:name w:val="header"/>
    <w:basedOn w:val="Normal"/>
    <w:link w:val="EncabezadoCar"/>
    <w:uiPriority w:val="99"/>
    <w:unhideWhenUsed/>
    <w:rsid w:val="009B4686"/>
    <w:pPr>
      <w:tabs>
        <w:tab w:val="center" w:pos="4252"/>
        <w:tab w:val="right" w:pos="8504"/>
      </w:tabs>
    </w:pPr>
    <w:rPr>
      <w:rFonts w:ascii="Calibri" w:eastAsia="Calibri" w:hAnsi="Calibri" w:cs="Calibri"/>
      <w:sz w:val="22"/>
      <w:szCs w:val="22"/>
      <w:lang w:eastAsia="es-ES"/>
    </w:rPr>
  </w:style>
  <w:style w:type="character" w:customStyle="1" w:styleId="EncabezadoCar">
    <w:name w:val="Encabezado Car"/>
    <w:basedOn w:val="Fuentedeprrafopredeter"/>
    <w:link w:val="Encabezado"/>
    <w:uiPriority w:val="99"/>
    <w:rsid w:val="009B4686"/>
  </w:style>
  <w:style w:type="paragraph" w:styleId="Piedepgina">
    <w:name w:val="footer"/>
    <w:basedOn w:val="Normal"/>
    <w:link w:val="PiedepginaCar"/>
    <w:uiPriority w:val="99"/>
    <w:unhideWhenUsed/>
    <w:rsid w:val="009B4686"/>
    <w:pPr>
      <w:tabs>
        <w:tab w:val="center" w:pos="4252"/>
        <w:tab w:val="right" w:pos="8504"/>
      </w:tabs>
    </w:pPr>
    <w:rPr>
      <w:rFonts w:ascii="Calibri" w:eastAsia="Calibri" w:hAnsi="Calibri" w:cs="Calibri"/>
      <w:sz w:val="22"/>
      <w:szCs w:val="22"/>
      <w:lang w:eastAsia="es-ES"/>
    </w:rPr>
  </w:style>
  <w:style w:type="character" w:customStyle="1" w:styleId="PiedepginaCar">
    <w:name w:val="Pie de página Car"/>
    <w:basedOn w:val="Fuentedeprrafopredeter"/>
    <w:link w:val="Piedepgina"/>
    <w:uiPriority w:val="99"/>
    <w:rsid w:val="009B4686"/>
  </w:style>
  <w:style w:type="character" w:styleId="Mencinsinresolver">
    <w:name w:val="Unresolved Mention"/>
    <w:basedOn w:val="Fuentedeprrafopredeter"/>
    <w:uiPriority w:val="99"/>
    <w:semiHidden/>
    <w:unhideWhenUsed/>
    <w:rsid w:val="00D71562"/>
    <w:rPr>
      <w:color w:val="605E5C"/>
      <w:shd w:val="clear" w:color="auto" w:fill="E1DFDD"/>
    </w:rPr>
  </w:style>
  <w:style w:type="character" w:styleId="Hipervnculovisitado">
    <w:name w:val="FollowedHyperlink"/>
    <w:basedOn w:val="Fuentedeprrafopredeter"/>
    <w:uiPriority w:val="99"/>
    <w:semiHidden/>
    <w:unhideWhenUsed/>
    <w:rsid w:val="00171B35"/>
    <w:rPr>
      <w:color w:val="800080" w:themeColor="followedHyperlink"/>
      <w:u w:val="single"/>
    </w:rPr>
  </w:style>
  <w:style w:type="character" w:customStyle="1" w:styleId="PrrafodelistaCar">
    <w:name w:val="Párrafo de lista Car"/>
    <w:aliases w:val="Cuadro 2-1 Car,Footnote Car,List Paragraph1 Car,Fundamentacion Car"/>
    <w:basedOn w:val="Fuentedeprrafopredeter"/>
    <w:link w:val="Prrafodelista"/>
    <w:uiPriority w:val="34"/>
    <w:rsid w:val="00B16E68"/>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bB3TJRLr68V301XjNKPy1mIPA==">AMUW2mVUiUbF7J1Zfp/bANPnbifHRgkql5XTxgeuEmXpy8fZPG+bjMdw7jn9UNotgvqRKG+zA518vJybdC0FE0Fi5jXIhg+HOgbferEAQEVdu7AlbDysM/A8zTvYihEvOL3rb6lD3dpI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6254</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Karina Cano Alvarez</cp:lastModifiedBy>
  <cp:revision>3</cp:revision>
  <dcterms:created xsi:type="dcterms:W3CDTF">2022-11-27T18:31:00Z</dcterms:created>
  <dcterms:modified xsi:type="dcterms:W3CDTF">2022-11-27T18:32:00Z</dcterms:modified>
</cp:coreProperties>
</file>